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F911" w14:textId="2290F067" w:rsidR="009C3397" w:rsidRDefault="00CF64A9" w:rsidP="009C3397">
      <w:pPr>
        <w:pStyle w:val="Heading1"/>
      </w:pPr>
      <w:bookmarkStart w:id="0" w:name="_Toc535362185"/>
      <w:bookmarkStart w:id="1" w:name="_Toc535697008"/>
      <w:bookmarkStart w:id="2" w:name="_Toc535921598"/>
      <w:r>
        <w:t>Spanish I</w:t>
      </w:r>
    </w:p>
    <w:p w14:paraId="100A68B0" w14:textId="77777777" w:rsidR="009C3397" w:rsidRPr="009C3397" w:rsidRDefault="009C3397" w:rsidP="009C3397"/>
    <w:p w14:paraId="17A17379" w14:textId="293AB8C4" w:rsidR="009C3397" w:rsidRPr="00764DA2" w:rsidRDefault="009C3397" w:rsidP="009C3397">
      <w:pPr>
        <w:pStyle w:val="Heading2"/>
      </w:pPr>
      <w:r w:rsidRPr="00764DA2">
        <w:t>Course Description</w:t>
      </w:r>
      <w:bookmarkEnd w:id="0"/>
      <w:bookmarkEnd w:id="1"/>
      <w:bookmarkEnd w:id="2"/>
    </w:p>
    <w:p w14:paraId="03F881F4" w14:textId="50C2A651" w:rsidR="00C52CC1" w:rsidRDefault="005D6B19" w:rsidP="009C3397">
      <w:bookmarkStart w:id="3" w:name="_Toc535362189"/>
      <w:bookmarkStart w:id="4" w:name="_Toc535697011"/>
      <w:bookmarkStart w:id="5" w:name="_Toc535921601"/>
      <w:r w:rsidRPr="00C52CC1">
        <w:t>This course will expose beginning Spanish students to the Spanish language and culture. The goal is to inspire the student to learn more about the richness of language and culture in the Spanish-speaking world. Students will learn foundational grammar and vocabulary, develop listening skills, and look at some of the culture associated with the language, especially in Latin America.</w:t>
      </w:r>
    </w:p>
    <w:p w14:paraId="702807F5" w14:textId="77777777" w:rsidR="00014D00" w:rsidRPr="009C3397" w:rsidRDefault="00014D00" w:rsidP="009C3397"/>
    <w:p w14:paraId="17F4C4D7" w14:textId="5BBF9D1D" w:rsidR="009C3397" w:rsidRDefault="009C3397" w:rsidP="009C3397">
      <w:pPr>
        <w:pStyle w:val="Heading2"/>
      </w:pPr>
      <w:r>
        <w:t>Required Text</w:t>
      </w:r>
      <w:bookmarkEnd w:id="3"/>
      <w:bookmarkEnd w:id="4"/>
      <w:bookmarkEnd w:id="5"/>
    </w:p>
    <w:p w14:paraId="126770AB" w14:textId="77777777" w:rsidR="0031500F" w:rsidRDefault="0031500F" w:rsidP="0031500F">
      <w:pPr>
        <w:pStyle w:val="Default"/>
        <w:rPr>
          <w:rFonts w:asciiTheme="minorHAnsi" w:eastAsiaTheme="minorHAnsi" w:hAnsiTheme="minorHAnsi" w:cstheme="minorBidi"/>
          <w:color w:val="auto"/>
          <w:bdr w:val="none" w:sz="0" w:space="0" w:color="auto"/>
        </w:rPr>
      </w:pPr>
      <w:r w:rsidRPr="009A0F1C">
        <w:rPr>
          <w:rFonts w:asciiTheme="minorHAnsi" w:eastAsiaTheme="minorHAnsi" w:hAnsiTheme="minorHAnsi" w:cstheme="minorBidi"/>
          <w:color w:val="auto"/>
          <w:bdr w:val="none" w:sz="0" w:space="0" w:color="auto"/>
        </w:rPr>
        <w:t xml:space="preserve">The text that accompanies this course is </w:t>
      </w:r>
      <w:r>
        <w:rPr>
          <w:rFonts w:asciiTheme="minorHAnsi" w:eastAsiaTheme="minorHAnsi" w:hAnsiTheme="minorHAnsi" w:cstheme="minorBidi"/>
          <w:i/>
          <w:color w:val="auto"/>
          <w:bdr w:val="none" w:sz="0" w:space="0" w:color="auto"/>
        </w:rPr>
        <w:t>Caminos</w:t>
      </w:r>
      <w:r w:rsidRPr="00BE0E95">
        <w:rPr>
          <w:rFonts w:asciiTheme="minorHAnsi" w:eastAsiaTheme="minorHAnsi" w:hAnsiTheme="minorHAnsi" w:cstheme="minorBidi"/>
          <w:color w:val="auto"/>
          <w:bdr w:val="none" w:sz="0" w:space="0" w:color="auto"/>
        </w:rPr>
        <w:t>.</w:t>
      </w:r>
      <w:r w:rsidRPr="009A0F1C">
        <w:rPr>
          <w:rFonts w:asciiTheme="minorHAnsi" w:eastAsiaTheme="minorHAnsi" w:hAnsiTheme="minorHAnsi" w:cstheme="minorBidi"/>
          <w:color w:val="auto"/>
          <w:bdr w:val="none" w:sz="0" w:space="0" w:color="auto"/>
        </w:rPr>
        <w:t xml:space="preserve"> </w:t>
      </w:r>
      <w:r>
        <w:rPr>
          <w:rFonts w:asciiTheme="minorHAnsi" w:eastAsiaTheme="minorHAnsi" w:hAnsiTheme="minorHAnsi" w:cstheme="minorBidi"/>
          <w:color w:val="auto"/>
          <w:bdr w:val="none" w:sz="0" w:space="0" w:color="auto"/>
        </w:rPr>
        <w:t>(</w:t>
      </w:r>
      <w:proofErr w:type="spellStart"/>
      <w:r>
        <w:rPr>
          <w:rFonts w:asciiTheme="minorHAnsi" w:eastAsiaTheme="minorHAnsi" w:hAnsiTheme="minorHAnsi" w:cstheme="minorBidi"/>
          <w:color w:val="auto"/>
          <w:bdr w:val="none" w:sz="0" w:space="0" w:color="auto"/>
        </w:rPr>
        <w:t>Renjilian-Burgy</w:t>
      </w:r>
      <w:proofErr w:type="spellEnd"/>
      <w:r>
        <w:rPr>
          <w:rFonts w:asciiTheme="minorHAnsi" w:eastAsiaTheme="minorHAnsi" w:hAnsiTheme="minorHAnsi" w:cstheme="minorBidi"/>
          <w:color w:val="auto"/>
          <w:bdr w:val="none" w:sz="0" w:space="0" w:color="auto"/>
        </w:rPr>
        <w:t>, 2007)</w:t>
      </w:r>
    </w:p>
    <w:p w14:paraId="412C4E2B" w14:textId="77777777" w:rsidR="009C3397" w:rsidRDefault="009C3397" w:rsidP="009C3397">
      <w:pPr>
        <w:pStyle w:val="Heading2"/>
      </w:pPr>
    </w:p>
    <w:p w14:paraId="67B0CC59" w14:textId="1EB5D801" w:rsidR="009C3397" w:rsidRPr="001A06D2" w:rsidRDefault="009C3397" w:rsidP="009C3397">
      <w:pPr>
        <w:pStyle w:val="Heading2"/>
      </w:pPr>
      <w:r w:rsidRPr="001A06D2">
        <w:t>Prerequisites</w:t>
      </w:r>
    </w:p>
    <w:p w14:paraId="049C59D0" w14:textId="77777777" w:rsidR="009C3397" w:rsidRDefault="009C3397" w:rsidP="009C3397">
      <w:r>
        <w:t>There are no prerequisites for this course.</w:t>
      </w:r>
    </w:p>
    <w:p w14:paraId="555FEEAC" w14:textId="74CECC4B" w:rsidR="009C3397" w:rsidRDefault="009C3397" w:rsidP="009C3397">
      <w:pPr>
        <w:pStyle w:val="Heading2"/>
      </w:pPr>
    </w:p>
    <w:p w14:paraId="3C804BBD" w14:textId="235080B0" w:rsidR="00D42A2E" w:rsidRDefault="00235542" w:rsidP="00D42A2E">
      <w:pPr>
        <w:pStyle w:val="Heading2"/>
      </w:pPr>
      <w:r>
        <w:t>Learning Outcome</w:t>
      </w:r>
      <w:r w:rsidR="00D42A2E">
        <w:t>s</w:t>
      </w:r>
    </w:p>
    <w:p w14:paraId="068DFACB"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Identify noun gender and use appropriate articles and modify adjectives to match noun gender.</w:t>
      </w:r>
    </w:p>
    <w:p w14:paraId="0FDAFE6A"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Pronounce words correctly and use accent marks when necessary in written Spanish.</w:t>
      </w:r>
    </w:p>
    <w:p w14:paraId="5F5ED29E"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Use subject pronouns, knowing when to use “</w:t>
      </w:r>
      <w:proofErr w:type="spellStart"/>
      <w:r w:rsidRPr="00AE037D">
        <w:rPr>
          <w:rFonts w:asciiTheme="minorHAnsi" w:hAnsiTheme="minorHAnsi" w:cstheme="minorHAnsi"/>
          <w:sz w:val="22"/>
          <w:szCs w:val="22"/>
        </w:rPr>
        <w:t>usted</w:t>
      </w:r>
      <w:proofErr w:type="spellEnd"/>
      <w:r w:rsidRPr="00AE037D">
        <w:rPr>
          <w:rFonts w:asciiTheme="minorHAnsi" w:hAnsiTheme="minorHAnsi" w:cstheme="minorHAnsi"/>
          <w:sz w:val="22"/>
          <w:szCs w:val="22"/>
        </w:rPr>
        <w:t>” instead of “</w:t>
      </w:r>
      <w:proofErr w:type="spellStart"/>
      <w:r w:rsidRPr="00AE037D">
        <w:rPr>
          <w:rFonts w:asciiTheme="minorHAnsi" w:hAnsiTheme="minorHAnsi" w:cstheme="minorHAnsi"/>
          <w:sz w:val="22"/>
          <w:szCs w:val="22"/>
        </w:rPr>
        <w:t>tú</w:t>
      </w:r>
      <w:proofErr w:type="spellEnd"/>
      <w:r w:rsidRPr="00AE037D">
        <w:rPr>
          <w:rFonts w:asciiTheme="minorHAnsi" w:hAnsiTheme="minorHAnsi" w:cstheme="minorHAnsi"/>
          <w:sz w:val="22"/>
          <w:szCs w:val="22"/>
        </w:rPr>
        <w:t>”.</w:t>
      </w:r>
    </w:p>
    <w:p w14:paraId="53C2D462"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Speak in the present tense and correctly conjugate regular verbs, irregular verbs, and stem-changing verbs.</w:t>
      </w:r>
    </w:p>
    <w:p w14:paraId="745A9D66"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Tell time and talk about time.</w:t>
      </w:r>
    </w:p>
    <w:p w14:paraId="53553E2D"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Discuss ownership using “de,” possessive adjectives, and “</w:t>
      </w:r>
      <w:proofErr w:type="spellStart"/>
      <w:r w:rsidRPr="00AE037D">
        <w:rPr>
          <w:rFonts w:asciiTheme="minorHAnsi" w:hAnsiTheme="minorHAnsi" w:cstheme="minorHAnsi"/>
          <w:sz w:val="22"/>
          <w:szCs w:val="22"/>
        </w:rPr>
        <w:t>tener</w:t>
      </w:r>
      <w:proofErr w:type="spellEnd"/>
      <w:r w:rsidRPr="00AE037D">
        <w:rPr>
          <w:rFonts w:asciiTheme="minorHAnsi" w:hAnsiTheme="minorHAnsi" w:cstheme="minorHAnsi"/>
          <w:sz w:val="22"/>
          <w:szCs w:val="22"/>
        </w:rPr>
        <w:t>,” and many special uses of the verb “</w:t>
      </w:r>
      <w:proofErr w:type="spellStart"/>
      <w:r w:rsidRPr="00AE037D">
        <w:rPr>
          <w:rFonts w:asciiTheme="minorHAnsi" w:hAnsiTheme="minorHAnsi" w:cstheme="minorHAnsi"/>
          <w:sz w:val="22"/>
          <w:szCs w:val="22"/>
        </w:rPr>
        <w:t>tener</w:t>
      </w:r>
      <w:proofErr w:type="spellEnd"/>
      <w:r w:rsidRPr="00AE037D">
        <w:rPr>
          <w:rFonts w:asciiTheme="minorHAnsi" w:hAnsiTheme="minorHAnsi" w:cstheme="minorHAnsi"/>
          <w:sz w:val="22"/>
          <w:szCs w:val="22"/>
        </w:rPr>
        <w:t>”.</w:t>
      </w:r>
    </w:p>
    <w:p w14:paraId="083F2263"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Talk about the future using the verb “</w:t>
      </w:r>
      <w:proofErr w:type="spellStart"/>
      <w:r w:rsidRPr="00AE037D">
        <w:rPr>
          <w:rFonts w:asciiTheme="minorHAnsi" w:hAnsiTheme="minorHAnsi" w:cstheme="minorHAnsi"/>
          <w:sz w:val="22"/>
          <w:szCs w:val="22"/>
        </w:rPr>
        <w:t>ir</w:t>
      </w:r>
      <w:proofErr w:type="spellEnd"/>
      <w:r w:rsidRPr="00AE037D">
        <w:rPr>
          <w:rFonts w:asciiTheme="minorHAnsi" w:hAnsiTheme="minorHAnsi" w:cstheme="minorHAnsi"/>
          <w:sz w:val="22"/>
          <w:szCs w:val="22"/>
        </w:rPr>
        <w:t>” to say they are “going to” do something.</w:t>
      </w:r>
    </w:p>
    <w:p w14:paraId="7916E1DD"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Use cognates to quickly increase their vocabulary.</w:t>
      </w:r>
    </w:p>
    <w:p w14:paraId="7DE3DA6F"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Ask questions using interrogative words such as who, what, when, where, why, and how.</w:t>
      </w:r>
    </w:p>
    <w:p w14:paraId="293FDDF8"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Talk about days and months, academic subjects, places in a city, fun activities, chores and items around the house and classroom, and the weather and seasons.</w:t>
      </w:r>
    </w:p>
    <w:p w14:paraId="1233407F"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Describe people’s physical characteristics as well as their personality</w:t>
      </w:r>
    </w:p>
    <w:p w14:paraId="533E13F7"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Count to one hundred.</w:t>
      </w:r>
    </w:p>
    <w:p w14:paraId="0F90BDAE"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Differentiate between the use of “saber” and the use of “</w:t>
      </w:r>
      <w:proofErr w:type="spellStart"/>
      <w:r w:rsidRPr="00AE037D">
        <w:rPr>
          <w:rFonts w:asciiTheme="minorHAnsi" w:hAnsiTheme="minorHAnsi" w:cstheme="minorHAnsi"/>
          <w:sz w:val="22"/>
          <w:szCs w:val="22"/>
        </w:rPr>
        <w:t>conocer</w:t>
      </w:r>
      <w:proofErr w:type="spellEnd"/>
      <w:r w:rsidRPr="00AE037D">
        <w:rPr>
          <w:rFonts w:asciiTheme="minorHAnsi" w:hAnsiTheme="minorHAnsi" w:cstheme="minorHAnsi"/>
          <w:sz w:val="22"/>
          <w:szCs w:val="22"/>
        </w:rPr>
        <w:t>”</w:t>
      </w:r>
    </w:p>
    <w:p w14:paraId="3EC9729C" w14:textId="77777777" w:rsidR="00FE4AB0" w:rsidRPr="00AE037D" w:rsidRDefault="00FE4AB0" w:rsidP="00FE4AB0">
      <w:pPr>
        <w:pStyle w:val="body"/>
        <w:numPr>
          <w:ilvl w:val="0"/>
          <w:numId w:val="3"/>
        </w:numPr>
        <w:rPr>
          <w:rFonts w:asciiTheme="minorHAnsi" w:hAnsiTheme="minorHAnsi" w:cstheme="minorHAnsi"/>
          <w:sz w:val="22"/>
          <w:szCs w:val="22"/>
        </w:rPr>
      </w:pPr>
      <w:r w:rsidRPr="00AE037D">
        <w:rPr>
          <w:rFonts w:asciiTheme="minorHAnsi" w:hAnsiTheme="minorHAnsi" w:cstheme="minorHAnsi"/>
          <w:sz w:val="22"/>
          <w:szCs w:val="22"/>
        </w:rPr>
        <w:t>Correctly use “ser” and “</w:t>
      </w:r>
      <w:proofErr w:type="spellStart"/>
      <w:r w:rsidRPr="00AE037D">
        <w:rPr>
          <w:rFonts w:asciiTheme="minorHAnsi" w:hAnsiTheme="minorHAnsi" w:cstheme="minorHAnsi"/>
          <w:sz w:val="22"/>
          <w:szCs w:val="22"/>
        </w:rPr>
        <w:t>estar</w:t>
      </w:r>
      <w:proofErr w:type="spellEnd"/>
      <w:r w:rsidRPr="00AE037D">
        <w:rPr>
          <w:rFonts w:asciiTheme="minorHAnsi" w:hAnsiTheme="minorHAnsi" w:cstheme="minorHAnsi"/>
          <w:sz w:val="22"/>
          <w:szCs w:val="22"/>
        </w:rPr>
        <w:t>” when translating the English verb “to be.”</w:t>
      </w:r>
    </w:p>
    <w:p w14:paraId="17911C51" w14:textId="77777777" w:rsidR="005E7667" w:rsidRDefault="005E7667" w:rsidP="005E7667">
      <w:pPr>
        <w:pStyle w:val="body"/>
        <w:rPr>
          <w:rFonts w:ascii="Arial" w:hAnsi="Arial" w:cs="Arial"/>
        </w:rPr>
      </w:pPr>
    </w:p>
    <w:p w14:paraId="7D2E2E1E" w14:textId="4059CB1C" w:rsidR="009C3397" w:rsidRDefault="009C3397" w:rsidP="009C3397">
      <w:pPr>
        <w:pStyle w:val="Heading2"/>
      </w:pPr>
      <w:r w:rsidRPr="00736A05">
        <w:lastRenderedPageBreak/>
        <w:t xml:space="preserve">Course </w:t>
      </w:r>
      <w:r w:rsidR="001153C7">
        <w:t>Topics</w:t>
      </w:r>
    </w:p>
    <w:p w14:paraId="39421D70" w14:textId="0639D4CB" w:rsidR="009C3397" w:rsidRPr="00F7564B" w:rsidRDefault="009C3397" w:rsidP="009C3397"/>
    <w:tbl>
      <w:tblPr>
        <w:tblStyle w:val="GridTable1Light-Accent3"/>
        <w:tblW w:w="0" w:type="auto"/>
        <w:tblLook w:val="04A0" w:firstRow="1" w:lastRow="0" w:firstColumn="1" w:lastColumn="0" w:noHBand="0" w:noVBand="1"/>
      </w:tblPr>
      <w:tblGrid>
        <w:gridCol w:w="2965"/>
        <w:gridCol w:w="6385"/>
      </w:tblGrid>
      <w:tr w:rsidR="009C3397" w14:paraId="32298EC0" w14:textId="77777777" w:rsidTr="0038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8702FB9" w14:textId="77777777" w:rsidR="009C3397" w:rsidRDefault="009C3397" w:rsidP="00381876">
            <w:pPr>
              <w:jc w:val="center"/>
            </w:pPr>
            <w:r>
              <w:t>Category/Topics</w:t>
            </w:r>
          </w:p>
        </w:tc>
        <w:tc>
          <w:tcPr>
            <w:tcW w:w="6385" w:type="dxa"/>
          </w:tcPr>
          <w:p w14:paraId="42E3A479" w14:textId="2FA84556" w:rsidR="009C3397" w:rsidRDefault="009C3397" w:rsidP="00381876">
            <w:pPr>
              <w:jc w:val="center"/>
              <w:cnfStyle w:val="100000000000" w:firstRow="1" w:lastRow="0" w:firstColumn="0" w:lastColumn="0" w:oddVBand="0" w:evenVBand="0" w:oddHBand="0" w:evenHBand="0" w:firstRowFirstColumn="0" w:firstRowLastColumn="0" w:lastRowFirstColumn="0" w:lastRowLastColumn="0"/>
            </w:pPr>
            <w:r>
              <w:t xml:space="preserve">Learning </w:t>
            </w:r>
            <w:r w:rsidR="000E20DE">
              <w:t>Content</w:t>
            </w:r>
          </w:p>
        </w:tc>
      </w:tr>
      <w:tr w:rsidR="00823638" w14:paraId="63DDA148"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FD4E0F2" w14:textId="5FEF3283" w:rsidR="00823638" w:rsidRDefault="00823638" w:rsidP="00823638">
            <w:pPr>
              <w:ind w:left="251"/>
            </w:pPr>
            <w:r w:rsidRPr="00422DAC">
              <w:t>Noun Gender</w:t>
            </w:r>
          </w:p>
        </w:tc>
        <w:tc>
          <w:tcPr>
            <w:tcW w:w="6385" w:type="dxa"/>
          </w:tcPr>
          <w:p w14:paraId="54C6A610" w14:textId="0437185B"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 xml:space="preserve">Introduces the concept of gender in Spanish nouns. Teaches the definite and indefinite articles. Provides guidelines for identifying gender of nouns and covers common exceptions and special cases. Covers common nouns for objects found in a classroom or dorm room, </w:t>
            </w:r>
            <w:proofErr w:type="gramStart"/>
            <w:r w:rsidRPr="00422DAC">
              <w:t>and also</w:t>
            </w:r>
            <w:proofErr w:type="gramEnd"/>
            <w:r w:rsidRPr="00422DAC">
              <w:t xml:space="preserve"> nouns related to profession or identity. Discusses the Latin American custom of the “kiss greeting.” Teaches some common expressions for greeting and saying good-bye.</w:t>
            </w:r>
          </w:p>
        </w:tc>
      </w:tr>
      <w:tr w:rsidR="00823638" w14:paraId="54EA8CF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8812F75" w14:textId="418FE282" w:rsidR="00823638" w:rsidRDefault="00823638" w:rsidP="00823638">
            <w:pPr>
              <w:ind w:left="251"/>
            </w:pPr>
            <w:r w:rsidRPr="00422DAC">
              <w:t>Pluralizing Nouns and Adjective-Noun Agreement</w:t>
            </w:r>
          </w:p>
        </w:tc>
        <w:tc>
          <w:tcPr>
            <w:tcW w:w="6385" w:type="dxa"/>
          </w:tcPr>
          <w:p w14:paraId="1F066F5A" w14:textId="15A8E08E"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Teaches how to pluralize nouns. Introduces the student to cognates along with a list of commonly-used adjective cognates. Presents the rules for adjective-noun agreement. Reviews common descriptive adjectives.</w:t>
            </w:r>
          </w:p>
        </w:tc>
      </w:tr>
      <w:tr w:rsidR="00823638" w14:paraId="128D360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52F8FB7" w14:textId="533C287B" w:rsidR="00823638" w:rsidRDefault="00823638" w:rsidP="00823638">
            <w:pPr>
              <w:ind w:left="251"/>
            </w:pPr>
            <w:r w:rsidRPr="00422DAC">
              <w:t xml:space="preserve">Pronunciation and Accent Placement </w:t>
            </w:r>
          </w:p>
        </w:tc>
        <w:tc>
          <w:tcPr>
            <w:tcW w:w="6385" w:type="dxa"/>
          </w:tcPr>
          <w:p w14:paraId="4CA93619" w14:textId="365331F5"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 xml:space="preserve">Explains pronunciation of Spanish words and the rules for accent placement in written Spanish. Lists the main interrogative words. Covers common colors. </w:t>
            </w:r>
          </w:p>
        </w:tc>
      </w:tr>
      <w:tr w:rsidR="00823638" w14:paraId="0084B03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0BC67B0" w14:textId="753BA51C" w:rsidR="00823638" w:rsidRDefault="00823638" w:rsidP="00823638">
            <w:pPr>
              <w:ind w:left="251"/>
            </w:pPr>
            <w:r w:rsidRPr="00422DAC">
              <w:t>Subject Pronouns</w:t>
            </w:r>
          </w:p>
        </w:tc>
        <w:tc>
          <w:tcPr>
            <w:tcW w:w="6385" w:type="dxa"/>
          </w:tcPr>
          <w:p w14:paraId="46E2A946" w14:textId="2A9D4BF4"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Teaches the subject pronouns. Explains the proper usage of “</w:t>
            </w:r>
            <w:proofErr w:type="spellStart"/>
            <w:r w:rsidRPr="00422DAC">
              <w:t>usted</w:t>
            </w:r>
            <w:proofErr w:type="spellEnd"/>
            <w:r w:rsidRPr="00422DAC">
              <w:t>” versus “</w:t>
            </w:r>
            <w:proofErr w:type="spellStart"/>
            <w:r w:rsidRPr="00422DAC">
              <w:t>tú</w:t>
            </w:r>
            <w:proofErr w:type="spellEnd"/>
            <w:r w:rsidRPr="00422DAC">
              <w:t>”. Teaches how to count from zero to one hundred. Reviews vocabulary for academic subjects and days of the week.</w:t>
            </w:r>
          </w:p>
        </w:tc>
      </w:tr>
      <w:tr w:rsidR="00823638" w14:paraId="543524EF"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0D3F2C06" w14:textId="5CD303AC" w:rsidR="00823638" w:rsidRDefault="00823638" w:rsidP="00823638">
            <w:pPr>
              <w:ind w:left="251"/>
            </w:pPr>
            <w:r w:rsidRPr="00422DAC">
              <w:t>Speaking in the Present Indicative Tense</w:t>
            </w:r>
          </w:p>
        </w:tc>
        <w:tc>
          <w:tcPr>
            <w:tcW w:w="6385" w:type="dxa"/>
          </w:tcPr>
          <w:p w14:paraId="4B88A52A" w14:textId="1F2F9583"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Explains the infinitive form and how to conjugate regular verbs in the present indicative tense. Describes common situations in which the present indicative tense is used. Reviews commonly used verbs.</w:t>
            </w:r>
          </w:p>
        </w:tc>
      </w:tr>
      <w:tr w:rsidR="00823638" w14:paraId="59E84D92"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0461ADA" w14:textId="0CB1E5DE" w:rsidR="00823638" w:rsidRDefault="00823638" w:rsidP="00823638">
            <w:pPr>
              <w:ind w:left="251"/>
            </w:pPr>
            <w:r w:rsidRPr="00422DAC">
              <w:t>The Verb “Ser”</w:t>
            </w:r>
          </w:p>
        </w:tc>
        <w:tc>
          <w:tcPr>
            <w:tcW w:w="6385" w:type="dxa"/>
          </w:tcPr>
          <w:p w14:paraId="5C80F29D" w14:textId="74C01466"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Introduces the two “To Be” verbs, “ser” and “</w:t>
            </w:r>
            <w:proofErr w:type="spellStart"/>
            <w:r w:rsidRPr="00422DAC">
              <w:t>estar</w:t>
            </w:r>
            <w:proofErr w:type="spellEnd"/>
            <w:r w:rsidRPr="00422DAC">
              <w:t xml:space="preserve">”, with an emphasis on “ser” – how to conjugate it and some common situations in which it is used. Discusses college life in Latin America. Teaches how to say “and” and how to negate sentences. Lists commonly used adjectives for describing personality. Reviews the months of the year. </w:t>
            </w:r>
          </w:p>
        </w:tc>
      </w:tr>
      <w:tr w:rsidR="00823638" w14:paraId="2516585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7360503" w14:textId="0CEF2CEB" w:rsidR="00823638" w:rsidRDefault="00823638" w:rsidP="00823638">
            <w:pPr>
              <w:ind w:left="251"/>
            </w:pPr>
            <w:r w:rsidRPr="00422DAC">
              <w:t>Telling Time</w:t>
            </w:r>
          </w:p>
        </w:tc>
        <w:tc>
          <w:tcPr>
            <w:tcW w:w="6385" w:type="dxa"/>
          </w:tcPr>
          <w:p w14:paraId="6E6B4A82" w14:textId="25AB5A9F"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Teaches the use of “ser” to tell time including minutes and time of day. Covers vocabulary for describing a home. Lists some phrases and vocabulary related to leisure activities.</w:t>
            </w:r>
          </w:p>
        </w:tc>
      </w:tr>
      <w:tr w:rsidR="00823638" w14:paraId="393D41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1F1F7F2A" w14:textId="206EB32B" w:rsidR="00823638" w:rsidRDefault="00823638" w:rsidP="00823638">
            <w:pPr>
              <w:ind w:left="251"/>
            </w:pPr>
            <w:r w:rsidRPr="00422DAC">
              <w:t>The Verb “</w:t>
            </w:r>
            <w:proofErr w:type="spellStart"/>
            <w:r w:rsidRPr="00422DAC">
              <w:t>Estar</w:t>
            </w:r>
            <w:proofErr w:type="spellEnd"/>
            <w:r w:rsidRPr="00422DAC">
              <w:t>”</w:t>
            </w:r>
          </w:p>
        </w:tc>
        <w:tc>
          <w:tcPr>
            <w:tcW w:w="6385" w:type="dxa"/>
          </w:tcPr>
          <w:p w14:paraId="165E4301" w14:textId="087A56E7"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Teaches the conjugation of “</w:t>
            </w:r>
            <w:proofErr w:type="spellStart"/>
            <w:r w:rsidRPr="00422DAC">
              <w:t>estar</w:t>
            </w:r>
            <w:proofErr w:type="spellEnd"/>
            <w:r w:rsidRPr="00422DAC">
              <w:t>” and common situations in which it is used. Reviews in greater depth the guidelines for choosing between “ser” and “</w:t>
            </w:r>
            <w:proofErr w:type="spellStart"/>
            <w:r w:rsidRPr="00422DAC">
              <w:t>estar</w:t>
            </w:r>
            <w:proofErr w:type="spellEnd"/>
            <w:r w:rsidRPr="00422DAC">
              <w:t>”. Discusses the importance of soccer in Latin-American culture. Lists adjectives for describing emotions and common nationalities in Spanish.</w:t>
            </w:r>
          </w:p>
        </w:tc>
      </w:tr>
      <w:tr w:rsidR="00823638" w14:paraId="54E9C470"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018B164" w14:textId="23E9925C" w:rsidR="00823638" w:rsidRDefault="00823638" w:rsidP="00823638">
            <w:pPr>
              <w:ind w:left="251"/>
            </w:pPr>
            <w:r w:rsidRPr="00422DAC">
              <w:t>Discussing Possession</w:t>
            </w:r>
          </w:p>
        </w:tc>
        <w:tc>
          <w:tcPr>
            <w:tcW w:w="6385" w:type="dxa"/>
          </w:tcPr>
          <w:p w14:paraId="2E5A2FD5" w14:textId="74134F56"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 xml:space="preserve">Teaches possessive adjectives and how to translate the “apostrophe s” construct used in English. Teaches the conjugations for the verb </w:t>
            </w:r>
            <w:r w:rsidRPr="00422DAC">
              <w:lastRenderedPageBreak/>
              <w:t>“</w:t>
            </w:r>
            <w:proofErr w:type="spellStart"/>
            <w:r w:rsidRPr="00422DAC">
              <w:t>tener</w:t>
            </w:r>
            <w:proofErr w:type="spellEnd"/>
            <w:r w:rsidRPr="00422DAC">
              <w:t>” and a variety of ways in which “</w:t>
            </w:r>
            <w:proofErr w:type="spellStart"/>
            <w:r w:rsidRPr="00422DAC">
              <w:t>tener</w:t>
            </w:r>
            <w:proofErr w:type="spellEnd"/>
            <w:r w:rsidRPr="00422DAC">
              <w:t>” can be used. Covers vocabulary for items around the house and household chores. Describes the famous South American city of Caracas and covers local slang.</w:t>
            </w:r>
          </w:p>
        </w:tc>
      </w:tr>
      <w:tr w:rsidR="00823638" w14:paraId="5519D67A"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B66DD44" w14:textId="1D74AA9D" w:rsidR="00823638" w:rsidRDefault="00823638" w:rsidP="00823638">
            <w:pPr>
              <w:ind w:left="251"/>
            </w:pPr>
            <w:r w:rsidRPr="00422DAC">
              <w:lastRenderedPageBreak/>
              <w:t>Verbs that are Irregular in the First Person</w:t>
            </w:r>
          </w:p>
        </w:tc>
        <w:tc>
          <w:tcPr>
            <w:tcW w:w="6385" w:type="dxa"/>
          </w:tcPr>
          <w:p w14:paraId="74434E25" w14:textId="72488501"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Explains the conjugation of -go and -</w:t>
            </w:r>
            <w:proofErr w:type="spellStart"/>
            <w:r w:rsidRPr="00422DAC">
              <w:t>zco</w:t>
            </w:r>
            <w:proofErr w:type="spellEnd"/>
            <w:r w:rsidRPr="00422DAC">
              <w:t xml:space="preserve"> verbs. Teaches the conjugation of “</w:t>
            </w:r>
            <w:proofErr w:type="spellStart"/>
            <w:r w:rsidRPr="00422DAC">
              <w:t>dar</w:t>
            </w:r>
            <w:proofErr w:type="spellEnd"/>
            <w:r w:rsidRPr="00422DAC">
              <w:t>,” “</w:t>
            </w:r>
            <w:proofErr w:type="spellStart"/>
            <w:r w:rsidRPr="00422DAC">
              <w:t>ver</w:t>
            </w:r>
            <w:proofErr w:type="spellEnd"/>
            <w:r w:rsidRPr="00422DAC">
              <w:t>,” and “saber.” Expounds on the distinction between “saber” and “</w:t>
            </w:r>
            <w:proofErr w:type="spellStart"/>
            <w:r w:rsidRPr="00422DAC">
              <w:t>conocer</w:t>
            </w:r>
            <w:proofErr w:type="spellEnd"/>
            <w:r w:rsidRPr="00422DAC">
              <w:t>”. Teaches the use of the “Personal A”. Reviews words and phrases related to the weather.</w:t>
            </w:r>
          </w:p>
        </w:tc>
      </w:tr>
      <w:tr w:rsidR="00823638" w14:paraId="4D5887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2DC539DA" w14:textId="63BA1B52" w:rsidR="00823638" w:rsidRDefault="00823638" w:rsidP="00823638">
            <w:pPr>
              <w:ind w:left="251"/>
            </w:pPr>
            <w:r w:rsidRPr="00422DAC">
              <w:t>Talking about the Future and Adjective Placement</w:t>
            </w:r>
          </w:p>
        </w:tc>
        <w:tc>
          <w:tcPr>
            <w:tcW w:w="6385" w:type="dxa"/>
          </w:tcPr>
          <w:p w14:paraId="024933E5" w14:textId="0683FC4B"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Reviews the conjugations for “</w:t>
            </w:r>
            <w:proofErr w:type="spellStart"/>
            <w:r w:rsidRPr="00422DAC">
              <w:t>ir</w:t>
            </w:r>
            <w:proofErr w:type="spellEnd"/>
            <w:r w:rsidRPr="00422DAC">
              <w:t>” and “</w:t>
            </w:r>
            <w:proofErr w:type="spellStart"/>
            <w:r w:rsidRPr="00422DAC">
              <w:t>venir</w:t>
            </w:r>
            <w:proofErr w:type="spellEnd"/>
            <w:r w:rsidRPr="00422DAC">
              <w:t>”. Teaches the use of “</w:t>
            </w:r>
            <w:proofErr w:type="spellStart"/>
            <w:r w:rsidRPr="00422DAC">
              <w:t>ir</w:t>
            </w:r>
            <w:proofErr w:type="spellEnd"/>
            <w:r w:rsidRPr="00422DAC">
              <w:t>” to talk about future actions. Explains the rules for adjective placement relative to the noun. Discusses the popular South American custom of drinking Mate. Reviews vocabulary related to the seasons and items of clothing. Covers some nouns for places in a city.</w:t>
            </w:r>
          </w:p>
        </w:tc>
      </w:tr>
      <w:tr w:rsidR="00823638" w14:paraId="363936FE"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F3A5DCE" w14:textId="13B7506A" w:rsidR="00823638" w:rsidRDefault="00823638" w:rsidP="00823638">
            <w:pPr>
              <w:ind w:left="251"/>
            </w:pPr>
            <w:r w:rsidRPr="00422DAC">
              <w:t>Stem-changing Verbs</w:t>
            </w:r>
          </w:p>
        </w:tc>
        <w:tc>
          <w:tcPr>
            <w:tcW w:w="6385" w:type="dxa"/>
          </w:tcPr>
          <w:p w14:paraId="5D2D844C" w14:textId="373CDD5A" w:rsidR="00823638" w:rsidRDefault="00823638" w:rsidP="00823638">
            <w:pPr>
              <w:cnfStyle w:val="000000000000" w:firstRow="0" w:lastRow="0" w:firstColumn="0" w:lastColumn="0" w:oddVBand="0" w:evenVBand="0" w:oddHBand="0" w:evenHBand="0" w:firstRowFirstColumn="0" w:firstRowLastColumn="0" w:lastRowFirstColumn="0" w:lastRowLastColumn="0"/>
            </w:pPr>
            <w:r w:rsidRPr="00422DAC">
              <w:t>Teaches the conjugations for ‘e’ to ‘</w:t>
            </w:r>
            <w:proofErr w:type="spellStart"/>
            <w:r w:rsidRPr="00422DAC">
              <w:t>ie</w:t>
            </w:r>
            <w:proofErr w:type="spellEnd"/>
            <w:r w:rsidRPr="00422DAC">
              <w:t>’, ‘e’ to ‘</w:t>
            </w:r>
            <w:proofErr w:type="spellStart"/>
            <w:r w:rsidRPr="00422DAC">
              <w:t>i</w:t>
            </w:r>
            <w:proofErr w:type="spellEnd"/>
            <w:r w:rsidRPr="00422DAC">
              <w:t>’, and ‘o’ to ‘</w:t>
            </w:r>
            <w:proofErr w:type="spellStart"/>
            <w:r w:rsidRPr="00422DAC">
              <w:t>ue</w:t>
            </w:r>
            <w:proofErr w:type="spellEnd"/>
            <w:r w:rsidRPr="00422DAC">
              <w:t>’ stem-changing verbs. Introduces a list of verbs that a stem change. Discusses verbs that are both irregular and have a stem change. Reviews vocabulary for additional places in a city.</w:t>
            </w:r>
          </w:p>
        </w:tc>
      </w:tr>
    </w:tbl>
    <w:p w14:paraId="66AB2D34" w14:textId="77777777" w:rsidR="009C3397" w:rsidRDefault="009C3397" w:rsidP="009C3397"/>
    <w:p w14:paraId="185F6706" w14:textId="6B8C0D54" w:rsidR="00D05DC4" w:rsidRDefault="00B177D1" w:rsidP="00D05DC4">
      <w:pPr>
        <w:pStyle w:val="Heading2"/>
      </w:pPr>
      <w:r>
        <w:t>Vocabulary and Grammar</w:t>
      </w:r>
      <w:r w:rsidR="00D05DC4">
        <w:t xml:space="preserve"> Questions</w:t>
      </w:r>
    </w:p>
    <w:p w14:paraId="355197CC" w14:textId="394FFBF9" w:rsidR="00C87357" w:rsidRDefault="00B177D1" w:rsidP="00D05DC4">
      <w:r>
        <w:t>Vocabulary and grammar</w:t>
      </w:r>
      <w:r w:rsidR="00D05DC4">
        <w:t xml:space="preserve"> questions are </w:t>
      </w:r>
      <w:proofErr w:type="gramStart"/>
      <w:r w:rsidR="00D05DC4">
        <w:t>similar to</w:t>
      </w:r>
      <w:proofErr w:type="gramEnd"/>
      <w:r w:rsidR="00D05DC4">
        <w:t xml:space="preserve"> homework assignments for reviewing and supplementing what you have learned in a lesson. You can repeat the questions as </w:t>
      </w:r>
      <w:proofErr w:type="gramStart"/>
      <w:r w:rsidR="00D05DC4">
        <w:t>preferred, but</w:t>
      </w:r>
      <w:proofErr w:type="gramEnd"/>
      <w:r w:rsidR="00D05DC4">
        <w:t xml:space="preserve"> will need to achieve a score of 80% or higher on </w:t>
      </w:r>
      <w:r w:rsidR="00410A61">
        <w:t>all of the vocabulary and grammar</w:t>
      </w:r>
      <w:r w:rsidR="00D05DC4">
        <w:t xml:space="preserve"> questions associated with a lesson before that lesson is marked as complete. You will then receive the appropriate proportion of the total number of points available for </w:t>
      </w:r>
      <w:r w:rsidR="00410A61">
        <w:t>vocabulary and grammar</w:t>
      </w:r>
      <w:r w:rsidR="00D05DC4">
        <w:t xml:space="preserve"> questions based on </w:t>
      </w:r>
      <w:r w:rsidR="00410A61">
        <w:t>your</w:t>
      </w:r>
      <w:r w:rsidR="00D05DC4">
        <w:t xml:space="preserve"> overall average score for </w:t>
      </w:r>
      <w:proofErr w:type="gramStart"/>
      <w:r w:rsidR="00D05DC4">
        <w:t>all</w:t>
      </w:r>
      <w:r w:rsidR="00410A61">
        <w:t xml:space="preserve"> of</w:t>
      </w:r>
      <w:proofErr w:type="gramEnd"/>
      <w:r w:rsidR="00410A61">
        <w:t xml:space="preserve"> those</w:t>
      </w:r>
      <w:r w:rsidR="00D05DC4">
        <w:t xml:space="preserve"> questions in the course.</w:t>
      </w:r>
    </w:p>
    <w:p w14:paraId="7153E7B7" w14:textId="77777777" w:rsidR="009C3397" w:rsidRDefault="009C3397" w:rsidP="009C3397">
      <w:pPr>
        <w:pStyle w:val="Heading2"/>
      </w:pPr>
      <w:bookmarkStart w:id="6" w:name="_Toc535362192"/>
      <w:bookmarkStart w:id="7" w:name="_Toc535697014"/>
      <w:bookmarkStart w:id="8" w:name="_Toc535921604"/>
    </w:p>
    <w:p w14:paraId="552A877A" w14:textId="38C4CF5D" w:rsidR="009C3397" w:rsidRDefault="009C3397" w:rsidP="009C3397">
      <w:pPr>
        <w:pStyle w:val="Heading2"/>
      </w:pPr>
      <w:r>
        <w:t>Course Time Limit</w:t>
      </w:r>
      <w:bookmarkEnd w:id="6"/>
      <w:bookmarkEnd w:id="7"/>
      <w:bookmarkEnd w:id="8"/>
    </w:p>
    <w:p w14:paraId="5B9C4031" w14:textId="75145CD8" w:rsidR="009C3397" w:rsidRDefault="009C3397" w:rsidP="009C3397">
      <w:r>
        <w:t xml:space="preserve">This course is self-paced, which means you can complete the course requirements at a pace that is comfortable for you. However, there is an overall time limit of 180 days to complete each course, starting from the date on which you registered. This time limit is indicated on your Courses screen as “Course Period.” </w:t>
      </w:r>
    </w:p>
    <w:p w14:paraId="14576EB8" w14:textId="77777777" w:rsidR="009C3397" w:rsidRDefault="009C3397" w:rsidP="009C3397">
      <w:r>
        <w:t>Once the time limit has passed, you will no longer be able to attempt any further activities or assessments. Assuming you have not yet attempted the Final Exam, you can immediately unregister and reregister for the course to start over. Otherwise, you will be required to wait to reregister per our Course Retake Policy.</w:t>
      </w:r>
    </w:p>
    <w:p w14:paraId="09859F44" w14:textId="47AE853B" w:rsidR="009C3397" w:rsidRDefault="009C3397" w:rsidP="009C3397">
      <w:pPr>
        <w:pStyle w:val="Heading2"/>
      </w:pPr>
      <w:bookmarkStart w:id="9" w:name="_Toc535362194"/>
      <w:bookmarkStart w:id="10" w:name="_Toc535697015"/>
      <w:bookmarkStart w:id="11" w:name="_Toc535921605"/>
    </w:p>
    <w:p w14:paraId="58C7A193" w14:textId="046146DE" w:rsidR="009779AE" w:rsidRDefault="009779AE" w:rsidP="009779AE">
      <w:pPr>
        <w:pStyle w:val="Heading2"/>
      </w:pPr>
      <w:r>
        <w:t>Course Retake Policy</w:t>
      </w:r>
    </w:p>
    <w:p w14:paraId="7D8E5C24" w14:textId="77777777" w:rsidR="009779AE" w:rsidRDefault="009779AE" w:rsidP="009779AE">
      <w:r>
        <w:t>There is a one-week waiting period before this course can be re-taken, starting from the date of the last Final Exam attempt.</w:t>
      </w:r>
    </w:p>
    <w:p w14:paraId="5971C5D1" w14:textId="77777777" w:rsidR="009779AE" w:rsidRDefault="009779AE" w:rsidP="009779AE">
      <w:r>
        <w:lastRenderedPageBreak/>
        <w:t>To retake the course, first unregister from the course on your Courses screen. If it has been over a week since your last attempt, you will then be able to register for this course again.</w:t>
      </w:r>
    </w:p>
    <w:p w14:paraId="0D39F5EA" w14:textId="7CBEBCC3" w:rsidR="00E60661" w:rsidRPr="00E60661" w:rsidRDefault="009779AE" w:rsidP="009779AE">
      <w:r>
        <w:t>Your highest final score for the course will be used for the transcript.</w:t>
      </w:r>
    </w:p>
    <w:p w14:paraId="2565A66E" w14:textId="77777777" w:rsidR="00E60661" w:rsidRPr="00E60661" w:rsidRDefault="00E60661" w:rsidP="00E60661"/>
    <w:p w14:paraId="793F574A" w14:textId="49E5A206" w:rsidR="009C3397" w:rsidRPr="00F16071" w:rsidRDefault="009C3397" w:rsidP="009C3397">
      <w:pPr>
        <w:pStyle w:val="Heading2"/>
      </w:pPr>
      <w:r>
        <w:t>Exams</w:t>
      </w:r>
      <w:bookmarkEnd w:id="9"/>
      <w:bookmarkEnd w:id="10"/>
      <w:bookmarkEnd w:id="11"/>
    </w:p>
    <w:p w14:paraId="3A1D431F" w14:textId="4EBC7510" w:rsidR="00450FDF" w:rsidRDefault="00450FDF" w:rsidP="00450FDF">
      <w:bookmarkStart w:id="12" w:name="_Toc535362195"/>
      <w:r>
        <w:t xml:space="preserve">There </w:t>
      </w:r>
      <w:proofErr w:type="gramStart"/>
      <w:r>
        <w:t>are</w:t>
      </w:r>
      <w:proofErr w:type="gramEnd"/>
      <w:r>
        <w:t xml:space="preserve"> a total of four exams for this course as described below.</w:t>
      </w:r>
      <w:r w:rsidR="0029064E">
        <w:t xml:space="preserve"> Exams 1 – 3 include some </w:t>
      </w:r>
      <w:r w:rsidR="009B3E54">
        <w:t xml:space="preserve">simple </w:t>
      </w:r>
      <w:r w:rsidR="0029064E">
        <w:t>listening comprehension questions</w:t>
      </w:r>
      <w:r w:rsidR="00D44CD1">
        <w:t xml:space="preserve"> in addition to vocabulary and grammar questions. The Final Exam </w:t>
      </w:r>
      <w:r w:rsidR="009A2964">
        <w:t>adds longer listening comprehension prompts in addition to the question types present in the first three exams.</w:t>
      </w:r>
    </w:p>
    <w:p w14:paraId="0FA4C279" w14:textId="77777777" w:rsidR="00450FDF" w:rsidRPr="00886FC1" w:rsidRDefault="00450FDF" w:rsidP="00450FDF">
      <w:pPr>
        <w:rPr>
          <w:sz w:val="16"/>
          <w:szCs w:val="16"/>
        </w:rPr>
      </w:pPr>
    </w:p>
    <w:tbl>
      <w:tblPr>
        <w:tblStyle w:val="TableGrid"/>
        <w:tblW w:w="0" w:type="auto"/>
        <w:jc w:val="center"/>
        <w:tblLook w:val="04A0" w:firstRow="1" w:lastRow="0" w:firstColumn="1" w:lastColumn="0" w:noHBand="0" w:noVBand="1"/>
      </w:tblPr>
      <w:tblGrid>
        <w:gridCol w:w="1173"/>
        <w:gridCol w:w="3322"/>
        <w:gridCol w:w="1800"/>
        <w:gridCol w:w="2070"/>
      </w:tblGrid>
      <w:tr w:rsidR="00450FDF" w:rsidRPr="000B7052" w14:paraId="6D34C996" w14:textId="77777777" w:rsidTr="000A33F8">
        <w:trPr>
          <w:jc w:val="center"/>
        </w:trPr>
        <w:tc>
          <w:tcPr>
            <w:tcW w:w="1173" w:type="dxa"/>
            <w:vAlign w:val="center"/>
          </w:tcPr>
          <w:p w14:paraId="3EC55700" w14:textId="77777777" w:rsidR="00450FDF" w:rsidRPr="000B7052" w:rsidRDefault="00450FDF" w:rsidP="000A33F8">
            <w:pPr>
              <w:jc w:val="center"/>
              <w:rPr>
                <w:b/>
              </w:rPr>
            </w:pPr>
            <w:r w:rsidRPr="000B7052">
              <w:rPr>
                <w:b/>
              </w:rPr>
              <w:t>Exam</w:t>
            </w:r>
          </w:p>
        </w:tc>
        <w:tc>
          <w:tcPr>
            <w:tcW w:w="3322" w:type="dxa"/>
            <w:vAlign w:val="center"/>
          </w:tcPr>
          <w:p w14:paraId="33A779EF" w14:textId="77777777" w:rsidR="00450FDF" w:rsidRPr="000B7052" w:rsidRDefault="00450FDF" w:rsidP="000A33F8">
            <w:pPr>
              <w:jc w:val="center"/>
              <w:rPr>
                <w:b/>
              </w:rPr>
            </w:pPr>
            <w:r>
              <w:rPr>
                <w:b/>
              </w:rPr>
              <w:t>Coverage</w:t>
            </w:r>
          </w:p>
        </w:tc>
        <w:tc>
          <w:tcPr>
            <w:tcW w:w="1800" w:type="dxa"/>
            <w:vAlign w:val="center"/>
          </w:tcPr>
          <w:p w14:paraId="3AFDA4FC" w14:textId="79CD46C6" w:rsidR="00450FDF" w:rsidRDefault="00450FDF" w:rsidP="000A33F8">
            <w:pPr>
              <w:jc w:val="center"/>
              <w:rPr>
                <w:b/>
              </w:rPr>
            </w:pPr>
            <w:r>
              <w:rPr>
                <w:b/>
              </w:rPr>
              <w:t>Number of Multiple-Choice Questions</w:t>
            </w:r>
          </w:p>
        </w:tc>
        <w:tc>
          <w:tcPr>
            <w:tcW w:w="2070" w:type="dxa"/>
            <w:vAlign w:val="center"/>
          </w:tcPr>
          <w:p w14:paraId="2FAF2540" w14:textId="77777777" w:rsidR="00450FDF" w:rsidRDefault="00450FDF" w:rsidP="000A33F8">
            <w:pPr>
              <w:jc w:val="center"/>
              <w:rPr>
                <w:b/>
              </w:rPr>
            </w:pPr>
            <w:r>
              <w:rPr>
                <w:b/>
              </w:rPr>
              <w:t>Time Limit, Minutes</w:t>
            </w:r>
          </w:p>
        </w:tc>
      </w:tr>
      <w:tr w:rsidR="00450FDF" w14:paraId="58A9022B" w14:textId="77777777" w:rsidTr="000A33F8">
        <w:trPr>
          <w:jc w:val="center"/>
        </w:trPr>
        <w:tc>
          <w:tcPr>
            <w:tcW w:w="1173" w:type="dxa"/>
          </w:tcPr>
          <w:p w14:paraId="1D266852" w14:textId="77777777" w:rsidR="00450FDF" w:rsidRPr="00FE45BD" w:rsidRDefault="00450FDF" w:rsidP="000A33F8">
            <w:pPr>
              <w:rPr>
                <w:b/>
              </w:rPr>
            </w:pPr>
            <w:r w:rsidRPr="00FE45BD">
              <w:rPr>
                <w:b/>
              </w:rPr>
              <w:t>First</w:t>
            </w:r>
          </w:p>
        </w:tc>
        <w:tc>
          <w:tcPr>
            <w:tcW w:w="3322" w:type="dxa"/>
          </w:tcPr>
          <w:p w14:paraId="657CC9C2" w14:textId="56366F73" w:rsidR="00450FDF" w:rsidRDefault="00450FDF" w:rsidP="000A33F8">
            <w:r>
              <w:t>Lessons 1-</w:t>
            </w:r>
            <w:r w:rsidR="00214B96">
              <w:t>1</w:t>
            </w:r>
            <w:r w:rsidR="00CF64A9">
              <w:t>1</w:t>
            </w:r>
          </w:p>
        </w:tc>
        <w:tc>
          <w:tcPr>
            <w:tcW w:w="1800" w:type="dxa"/>
          </w:tcPr>
          <w:p w14:paraId="7F550B9D" w14:textId="7677BA41" w:rsidR="00450FDF" w:rsidRDefault="00CF64A9" w:rsidP="000A33F8">
            <w:pPr>
              <w:jc w:val="center"/>
            </w:pPr>
            <w:r>
              <w:t>3</w:t>
            </w:r>
            <w:r w:rsidR="00450FDF">
              <w:t>5</w:t>
            </w:r>
          </w:p>
        </w:tc>
        <w:tc>
          <w:tcPr>
            <w:tcW w:w="2070" w:type="dxa"/>
          </w:tcPr>
          <w:p w14:paraId="7CAB74B3" w14:textId="77777777" w:rsidR="00450FDF" w:rsidRDefault="00450FDF" w:rsidP="000A33F8">
            <w:pPr>
              <w:jc w:val="center"/>
            </w:pPr>
            <w:r>
              <w:t>60</w:t>
            </w:r>
          </w:p>
        </w:tc>
      </w:tr>
      <w:tr w:rsidR="00450FDF" w14:paraId="5D652A7C" w14:textId="77777777" w:rsidTr="000A33F8">
        <w:trPr>
          <w:jc w:val="center"/>
        </w:trPr>
        <w:tc>
          <w:tcPr>
            <w:tcW w:w="1173" w:type="dxa"/>
          </w:tcPr>
          <w:p w14:paraId="66C5114C" w14:textId="0610900C" w:rsidR="00450FDF" w:rsidRPr="00FE45BD" w:rsidRDefault="00F21B27" w:rsidP="000A33F8">
            <w:pPr>
              <w:rPr>
                <w:b/>
              </w:rPr>
            </w:pPr>
            <w:r>
              <w:rPr>
                <w:b/>
              </w:rPr>
              <w:t>Second</w:t>
            </w:r>
          </w:p>
        </w:tc>
        <w:tc>
          <w:tcPr>
            <w:tcW w:w="3322" w:type="dxa"/>
          </w:tcPr>
          <w:p w14:paraId="31357D1B" w14:textId="0939A5FA" w:rsidR="00450FDF" w:rsidRDefault="00450FDF" w:rsidP="000A33F8">
            <w:r>
              <w:t xml:space="preserve">Lessons </w:t>
            </w:r>
            <w:r w:rsidR="00214B96">
              <w:t>1</w:t>
            </w:r>
            <w:r w:rsidR="00F21B27">
              <w:t>2</w:t>
            </w:r>
            <w:r w:rsidR="00214B96">
              <w:t>-</w:t>
            </w:r>
            <w:r w:rsidR="00F21B27">
              <w:t>20</w:t>
            </w:r>
          </w:p>
        </w:tc>
        <w:tc>
          <w:tcPr>
            <w:tcW w:w="1800" w:type="dxa"/>
          </w:tcPr>
          <w:p w14:paraId="6C0D4F3F" w14:textId="63382B17" w:rsidR="00450FDF" w:rsidRDefault="000F42DA" w:rsidP="000A33F8">
            <w:pPr>
              <w:jc w:val="center"/>
            </w:pPr>
            <w:r>
              <w:t>35</w:t>
            </w:r>
          </w:p>
        </w:tc>
        <w:tc>
          <w:tcPr>
            <w:tcW w:w="2070" w:type="dxa"/>
          </w:tcPr>
          <w:p w14:paraId="55A606F1" w14:textId="2CE137B5" w:rsidR="00450FDF" w:rsidRDefault="004B6444" w:rsidP="000A33F8">
            <w:pPr>
              <w:jc w:val="center"/>
            </w:pPr>
            <w:r>
              <w:t>6</w:t>
            </w:r>
            <w:r w:rsidR="00450FDF">
              <w:t>0</w:t>
            </w:r>
          </w:p>
        </w:tc>
      </w:tr>
      <w:tr w:rsidR="00450FDF" w14:paraId="2496C839" w14:textId="77777777" w:rsidTr="000A33F8">
        <w:trPr>
          <w:jc w:val="center"/>
        </w:trPr>
        <w:tc>
          <w:tcPr>
            <w:tcW w:w="1173" w:type="dxa"/>
          </w:tcPr>
          <w:p w14:paraId="0D1BB636" w14:textId="77777777" w:rsidR="00450FDF" w:rsidRPr="00FE45BD" w:rsidRDefault="00450FDF" w:rsidP="000A33F8">
            <w:pPr>
              <w:rPr>
                <w:b/>
              </w:rPr>
            </w:pPr>
            <w:r w:rsidRPr="00FE45BD">
              <w:rPr>
                <w:b/>
              </w:rPr>
              <w:t>Third</w:t>
            </w:r>
          </w:p>
        </w:tc>
        <w:tc>
          <w:tcPr>
            <w:tcW w:w="3322" w:type="dxa"/>
          </w:tcPr>
          <w:p w14:paraId="7B29DCF4" w14:textId="243ED06F" w:rsidR="00450FDF" w:rsidRDefault="00450FDF" w:rsidP="000A33F8">
            <w:r>
              <w:t xml:space="preserve">Lessons </w:t>
            </w:r>
            <w:r w:rsidR="00B45823">
              <w:t>38-49</w:t>
            </w:r>
          </w:p>
        </w:tc>
        <w:tc>
          <w:tcPr>
            <w:tcW w:w="1800" w:type="dxa"/>
          </w:tcPr>
          <w:p w14:paraId="100E6458" w14:textId="05F197BE" w:rsidR="00450FDF" w:rsidRDefault="000F42DA" w:rsidP="000A33F8">
            <w:pPr>
              <w:jc w:val="center"/>
            </w:pPr>
            <w:r>
              <w:t>35</w:t>
            </w:r>
          </w:p>
        </w:tc>
        <w:tc>
          <w:tcPr>
            <w:tcW w:w="2070" w:type="dxa"/>
          </w:tcPr>
          <w:p w14:paraId="132C466F" w14:textId="77777777" w:rsidR="00450FDF" w:rsidRDefault="00450FDF" w:rsidP="000A33F8">
            <w:pPr>
              <w:jc w:val="center"/>
            </w:pPr>
            <w:r>
              <w:t>60</w:t>
            </w:r>
          </w:p>
        </w:tc>
      </w:tr>
      <w:tr w:rsidR="00450FDF" w14:paraId="46A13145" w14:textId="77777777" w:rsidTr="000A33F8">
        <w:trPr>
          <w:jc w:val="center"/>
        </w:trPr>
        <w:tc>
          <w:tcPr>
            <w:tcW w:w="1173" w:type="dxa"/>
          </w:tcPr>
          <w:p w14:paraId="478BF984" w14:textId="77777777" w:rsidR="00450FDF" w:rsidRPr="00FE45BD" w:rsidRDefault="00450FDF" w:rsidP="000A33F8">
            <w:pPr>
              <w:rPr>
                <w:b/>
              </w:rPr>
            </w:pPr>
            <w:r w:rsidRPr="00FE45BD">
              <w:rPr>
                <w:b/>
              </w:rPr>
              <w:t>Final</w:t>
            </w:r>
          </w:p>
        </w:tc>
        <w:tc>
          <w:tcPr>
            <w:tcW w:w="3322" w:type="dxa"/>
          </w:tcPr>
          <w:p w14:paraId="5FF00961" w14:textId="1B03229B" w:rsidR="00450FDF" w:rsidRDefault="00450FDF" w:rsidP="000A33F8">
            <w:r>
              <w:t xml:space="preserve">Cumulative; everything taught in the course with an emphasis on content from the last </w:t>
            </w:r>
            <w:r w:rsidR="0049722C">
              <w:t>quarter.</w:t>
            </w:r>
          </w:p>
        </w:tc>
        <w:tc>
          <w:tcPr>
            <w:tcW w:w="1800" w:type="dxa"/>
          </w:tcPr>
          <w:p w14:paraId="16A4B292" w14:textId="77777777" w:rsidR="00450FDF" w:rsidRDefault="00450FDF" w:rsidP="000A33F8">
            <w:pPr>
              <w:jc w:val="center"/>
            </w:pPr>
            <w:r>
              <w:t>50</w:t>
            </w:r>
          </w:p>
        </w:tc>
        <w:tc>
          <w:tcPr>
            <w:tcW w:w="2070" w:type="dxa"/>
          </w:tcPr>
          <w:p w14:paraId="476346D5" w14:textId="1401F143" w:rsidR="00450FDF" w:rsidRDefault="000509EE" w:rsidP="000A33F8">
            <w:pPr>
              <w:jc w:val="center"/>
            </w:pPr>
            <w:r>
              <w:t>90</w:t>
            </w:r>
            <w:bookmarkStart w:id="13" w:name="_GoBack"/>
            <w:bookmarkEnd w:id="13"/>
          </w:p>
        </w:tc>
      </w:tr>
    </w:tbl>
    <w:p w14:paraId="2E8F4563" w14:textId="778974B0" w:rsidR="009C3397" w:rsidRDefault="009C3397" w:rsidP="00450FDF">
      <w:pPr>
        <w:pStyle w:val="Heading2"/>
      </w:pPr>
    </w:p>
    <w:p w14:paraId="4965B81D" w14:textId="77777777" w:rsidR="009C3397" w:rsidRDefault="009C3397" w:rsidP="009C3397">
      <w:pPr>
        <w:pStyle w:val="Heading2"/>
      </w:pPr>
      <w:bookmarkStart w:id="14" w:name="_Toc535697016"/>
      <w:bookmarkStart w:id="15" w:name="_Toc535921606"/>
      <w:r>
        <w:t>Grading</w:t>
      </w:r>
      <w:bookmarkEnd w:id="12"/>
      <w:bookmarkEnd w:id="14"/>
      <w:bookmarkEnd w:id="15"/>
    </w:p>
    <w:p w14:paraId="3FB19E78" w14:textId="77777777" w:rsidR="0046309B" w:rsidRDefault="0046309B" w:rsidP="0046309B">
      <w:r>
        <w:t>To determine your level of mastery for this course, you will earn points by successfully completing the learning and evaluation activities below in sequence.</w:t>
      </w:r>
    </w:p>
    <w:p w14:paraId="1C1929C1" w14:textId="77777777" w:rsidR="0046309B" w:rsidRPr="0003709B" w:rsidRDefault="0046309B" w:rsidP="0046309B">
      <w:pPr>
        <w:rPr>
          <w:sz w:val="16"/>
          <w:szCs w:val="16"/>
        </w:rPr>
      </w:pP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10"/>
      </w:tblGrid>
      <w:tr w:rsidR="0046309B" w14:paraId="3F3D2CEA" w14:textId="77777777" w:rsidTr="000A33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0C638185" w14:textId="77777777" w:rsidR="0046309B" w:rsidRDefault="0046309B" w:rsidP="000A33F8">
            <w:pPr>
              <w:jc w:val="center"/>
            </w:pPr>
            <w:r>
              <w:t>Source</w:t>
            </w:r>
          </w:p>
        </w:tc>
        <w:tc>
          <w:tcPr>
            <w:tcW w:w="3510" w:type="dxa"/>
            <w:tcBorders>
              <w:bottom w:val="none" w:sz="0" w:space="0" w:color="auto"/>
            </w:tcBorders>
          </w:tcPr>
          <w:p w14:paraId="606C8BD4" w14:textId="77777777" w:rsidR="0046309B" w:rsidRDefault="0046309B" w:rsidP="000A33F8">
            <w:pPr>
              <w:jc w:val="center"/>
              <w:cnfStyle w:val="100000000000" w:firstRow="1" w:lastRow="0" w:firstColumn="0" w:lastColumn="0" w:oddVBand="0" w:evenVBand="0" w:oddHBand="0" w:evenHBand="0" w:firstRowFirstColumn="0" w:firstRowLastColumn="0" w:lastRowFirstColumn="0" w:lastRowLastColumn="0"/>
            </w:pPr>
            <w:r>
              <w:t>Points Available</w:t>
            </w:r>
          </w:p>
        </w:tc>
      </w:tr>
      <w:tr w:rsidR="0046309B" w14:paraId="481DE1A2"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28F0F23D" w14:textId="064DF23F" w:rsidR="0046309B" w:rsidRDefault="00410A61" w:rsidP="000A33F8">
            <w:r>
              <w:t>Vocabulary and Grammar</w:t>
            </w:r>
          </w:p>
        </w:tc>
        <w:tc>
          <w:tcPr>
            <w:tcW w:w="3510" w:type="dxa"/>
          </w:tcPr>
          <w:p w14:paraId="3E89D0D9"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r w:rsidR="0046309B" w14:paraId="2B1EC1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D65E4A9" w14:textId="77777777" w:rsidR="0046309B" w:rsidRDefault="0046309B" w:rsidP="000A33F8">
            <w:r>
              <w:t>Graded Exam #1</w:t>
            </w:r>
          </w:p>
        </w:tc>
        <w:tc>
          <w:tcPr>
            <w:tcW w:w="3510" w:type="dxa"/>
          </w:tcPr>
          <w:p w14:paraId="0901F4F3"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6FEC7C2A"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5F8FAEA" w14:textId="053A2637" w:rsidR="0046309B" w:rsidRDefault="006C62E5" w:rsidP="000A33F8">
            <w:r>
              <w:t>Graded Exam #2</w:t>
            </w:r>
          </w:p>
        </w:tc>
        <w:tc>
          <w:tcPr>
            <w:tcW w:w="3510" w:type="dxa"/>
          </w:tcPr>
          <w:p w14:paraId="4BBEC085" w14:textId="6F838531" w:rsidR="0046309B" w:rsidRDefault="006C62E5" w:rsidP="000A33F8">
            <w:pPr>
              <w:cnfStyle w:val="000000100000" w:firstRow="0" w:lastRow="0" w:firstColumn="0" w:lastColumn="0" w:oddVBand="0" w:evenVBand="0" w:oddHBand="1" w:evenHBand="0" w:firstRowFirstColumn="0" w:firstRowLastColumn="0" w:lastRowFirstColumn="0" w:lastRowLastColumn="0"/>
            </w:pPr>
            <w:r>
              <w:t>1</w:t>
            </w:r>
            <w:r w:rsidR="0046309B">
              <w:t>00</w:t>
            </w:r>
          </w:p>
        </w:tc>
      </w:tr>
      <w:tr w:rsidR="0046309B" w14:paraId="5976C3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E644CE5" w14:textId="77777777" w:rsidR="0046309B" w:rsidRDefault="0046309B" w:rsidP="000A33F8">
            <w:r>
              <w:t>Graded Exam #2</w:t>
            </w:r>
          </w:p>
        </w:tc>
        <w:tc>
          <w:tcPr>
            <w:tcW w:w="3510" w:type="dxa"/>
          </w:tcPr>
          <w:p w14:paraId="48E6CDEC"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059E6A2E"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C3DC819" w14:textId="77777777" w:rsidR="0046309B" w:rsidRDefault="0046309B" w:rsidP="000A33F8">
            <w:r>
              <w:t>Final Exam</w:t>
            </w:r>
          </w:p>
        </w:tc>
        <w:tc>
          <w:tcPr>
            <w:tcW w:w="3510" w:type="dxa"/>
          </w:tcPr>
          <w:p w14:paraId="2932316A" w14:textId="6921F323" w:rsidR="0046309B" w:rsidRDefault="007E08A7" w:rsidP="000A33F8">
            <w:pPr>
              <w:cnfStyle w:val="000000100000" w:firstRow="0" w:lastRow="0" w:firstColumn="0" w:lastColumn="0" w:oddVBand="0" w:evenVBand="0" w:oddHBand="1" w:evenHBand="0" w:firstRowFirstColumn="0" w:firstRowLastColumn="0" w:lastRowFirstColumn="0" w:lastRowLastColumn="0"/>
            </w:pPr>
            <w:r>
              <w:t>4</w:t>
            </w:r>
            <w:r w:rsidR="0046309B">
              <w:t>00</w:t>
            </w:r>
          </w:p>
        </w:tc>
      </w:tr>
    </w:tbl>
    <w:p w14:paraId="310517D2" w14:textId="77777777" w:rsidR="009C3397" w:rsidRPr="00525336" w:rsidRDefault="009C3397" w:rsidP="009C3397">
      <w:pPr>
        <w:rPr>
          <w:sz w:val="16"/>
          <w:szCs w:val="16"/>
        </w:rPr>
      </w:pPr>
    </w:p>
    <w:p w14:paraId="2B6F91C8" w14:textId="77777777" w:rsidR="009C3397" w:rsidRDefault="009C3397" w:rsidP="009C3397">
      <w:r>
        <w:t xml:space="preserve">Upon completion of the course and the grading source activities, InstantCert will provide you with a percentage score. The minimum passing score is 700 points, or an overall course grade of 70%. </w:t>
      </w:r>
    </w:p>
    <w:p w14:paraId="72386BDC" w14:textId="77777777" w:rsidR="009C3397" w:rsidRPr="001A06D2" w:rsidRDefault="009C3397" w:rsidP="009C3397">
      <w:pPr>
        <w:rPr>
          <w:b/>
        </w:rPr>
      </w:pPr>
      <w:r w:rsidRPr="001A06D2">
        <w:rPr>
          <w:b/>
        </w:rPr>
        <w:lastRenderedPageBreak/>
        <w:t>Important! Only a passing score on a course marked 100% complete (including the proctored final exam) is eligible for college credit.</w:t>
      </w:r>
    </w:p>
    <w:p w14:paraId="7874FF9E" w14:textId="77777777" w:rsidR="009C3397" w:rsidRDefault="009C3397" w:rsidP="009C3397">
      <w:pPr>
        <w:pStyle w:val="Heading2"/>
      </w:pPr>
      <w:bookmarkStart w:id="16" w:name="_Toc535362196"/>
      <w:bookmarkStart w:id="17" w:name="_Toc535697017"/>
      <w:bookmarkStart w:id="18" w:name="_Toc535921607"/>
    </w:p>
    <w:p w14:paraId="798EDEB0" w14:textId="207D0D53" w:rsidR="009C3397" w:rsidRDefault="009C3397" w:rsidP="009C3397">
      <w:pPr>
        <w:pStyle w:val="Heading2"/>
      </w:pPr>
      <w:r>
        <w:t>Proctoring of the Final Exam</w:t>
      </w:r>
      <w:bookmarkEnd w:id="16"/>
      <w:bookmarkEnd w:id="17"/>
      <w:bookmarkEnd w:id="18"/>
    </w:p>
    <w:p w14:paraId="79020B3B" w14:textId="77777777" w:rsidR="009C3397" w:rsidRDefault="009C3397" w:rsidP="009C3397">
      <w:r w:rsidRPr="008C1500">
        <w:t xml:space="preserve">A proctor is a person who monitors the work of another person who is taking an examination. Online proctoring services allow </w:t>
      </w:r>
      <w:r>
        <w:t>you to</w:t>
      </w:r>
      <w:r w:rsidRPr="008C1500">
        <w:t xml:space="preserve"> </w:t>
      </w:r>
      <w:r>
        <w:t xml:space="preserve">take the </w:t>
      </w:r>
      <w:r w:rsidRPr="008C1500">
        <w:t>work</w:t>
      </w:r>
      <w:r>
        <w:t>ing</w:t>
      </w:r>
      <w:r w:rsidRPr="008C1500">
        <w:t xml:space="preserve"> remotely </w:t>
      </w:r>
      <w:r>
        <w:t xml:space="preserve">and in the same way </w:t>
      </w:r>
      <w:r w:rsidRPr="008C1500">
        <w:t xml:space="preserve">as if </w:t>
      </w:r>
      <w:r>
        <w:t>you</w:t>
      </w:r>
      <w:r w:rsidRPr="008C1500">
        <w:t xml:space="preserve"> were sitting in an exam </w:t>
      </w:r>
      <w:r>
        <w:t xml:space="preserve">room. Proctoring ensures that the test you take complies with current college level examination policies. </w:t>
      </w:r>
    </w:p>
    <w:p w14:paraId="5E75DC07" w14:textId="77777777" w:rsidR="009C3397" w:rsidRDefault="009C3397" w:rsidP="009C3397">
      <w:r>
        <w:t xml:space="preserve">Proctoring is used only for the final exam. It is offered through the online proctoring service </w:t>
      </w:r>
      <w:proofErr w:type="spellStart"/>
      <w:r>
        <w:t>RPNow</w:t>
      </w:r>
      <w:proofErr w:type="spellEnd"/>
      <w:r>
        <w:t xml:space="preserve"> at the Software Secure web site. You will pay a separate fee to </w:t>
      </w:r>
      <w:proofErr w:type="spellStart"/>
      <w:r>
        <w:t>RPNow</w:t>
      </w:r>
      <w:proofErr w:type="spellEnd"/>
      <w:r>
        <w:t xml:space="preserve"> for each final exam attempt.</w:t>
      </w:r>
    </w:p>
    <w:p w14:paraId="6A86F3A6" w14:textId="77777777" w:rsidR="009C3397" w:rsidRDefault="009C3397" w:rsidP="009C3397">
      <w:proofErr w:type="spellStart"/>
      <w:r>
        <w:t>RPNow</w:t>
      </w:r>
      <w:proofErr w:type="spellEnd"/>
      <w:r>
        <w:t xml:space="preserve"> requires that students download and install proprietary software. They will need to use a PC or a Mac with a webcam. Students can review the full system requirements for </w:t>
      </w:r>
      <w:proofErr w:type="spellStart"/>
      <w:r>
        <w:t>RPNow</w:t>
      </w:r>
      <w:proofErr w:type="spellEnd"/>
      <w:r>
        <w:t xml:space="preserve"> at:</w:t>
      </w:r>
    </w:p>
    <w:p w14:paraId="563E11DA" w14:textId="77777777" w:rsidR="009C3397" w:rsidRDefault="000509EE" w:rsidP="009C3397">
      <w:hyperlink r:id="rId5" w:history="1">
        <w:r w:rsidR="009C3397" w:rsidRPr="00393CF5">
          <w:rPr>
            <w:rStyle w:val="Hyperlink"/>
          </w:rPr>
          <w:t>http://</w:t>
        </w:r>
        <w:bookmarkStart w:id="19" w:name="_Hlk535161197"/>
        <w:r w:rsidR="009C3397" w:rsidRPr="00393CF5">
          <w:rPr>
            <w:rStyle w:val="Hyperlink"/>
          </w:rPr>
          <w:t>clientportal.softwaresecure.com</w:t>
        </w:r>
        <w:bookmarkEnd w:id="19"/>
        <w:r w:rsidR="009C3397" w:rsidRPr="00393CF5">
          <w:rPr>
            <w:rStyle w:val="Hyperlink"/>
          </w:rPr>
          <w:t>/support/index.php?/Knowledgebase/Article/View/252/0/system-requirements-remote-proctor-now</w:t>
        </w:r>
      </w:hyperlink>
    </w:p>
    <w:p w14:paraId="7ED08059" w14:textId="77777777" w:rsidR="009C3397" w:rsidRDefault="009C3397" w:rsidP="009C3397">
      <w:pPr>
        <w:pStyle w:val="Heading2"/>
      </w:pPr>
      <w:bookmarkStart w:id="20" w:name="_Toc535362197"/>
      <w:bookmarkStart w:id="21" w:name="_Toc535697018"/>
      <w:bookmarkStart w:id="22" w:name="_Toc535921608"/>
    </w:p>
    <w:p w14:paraId="263FBD47" w14:textId="0A666FDC" w:rsidR="009C3397" w:rsidRDefault="00A258F7" w:rsidP="009C3397">
      <w:pPr>
        <w:pStyle w:val="Heading2"/>
      </w:pPr>
      <w:r>
        <w:t xml:space="preserve">Exam </w:t>
      </w:r>
      <w:r w:rsidR="009C3397">
        <w:t>Retake Policy</w:t>
      </w:r>
      <w:bookmarkEnd w:id="20"/>
      <w:bookmarkEnd w:id="21"/>
      <w:bookmarkEnd w:id="22"/>
    </w:p>
    <w:p w14:paraId="764D018A" w14:textId="4FBD8659" w:rsidR="009C3397" w:rsidRDefault="00A258F7" w:rsidP="009C3397">
      <w:r>
        <w:t>All three</w:t>
      </w:r>
      <w:r w:rsidR="00C9745D">
        <w:t xml:space="preserve"> graded exams</w:t>
      </w:r>
      <w:r>
        <w:t xml:space="preserve"> </w:t>
      </w:r>
      <w:r w:rsidR="00C9745D">
        <w:t>a</w:t>
      </w:r>
      <w:r w:rsidR="005545AF">
        <w:t>n</w:t>
      </w:r>
      <w:r w:rsidR="00C9745D">
        <w:t>d the final exam can be retaken ONCE</w:t>
      </w:r>
      <w:r w:rsidR="009C3397">
        <w:t>.</w:t>
      </w:r>
      <w:r w:rsidR="005545AF">
        <w:t xml:space="preserve"> There is a 3-day waiting period before you will be allowed to retake an exam.</w:t>
      </w:r>
      <w:r w:rsidR="009C3397">
        <w:t xml:space="preserve"> If you retake </w:t>
      </w:r>
      <w:r w:rsidR="00AF1DB2">
        <w:t>an</w:t>
      </w:r>
      <w:r w:rsidR="009C3397">
        <w:t xml:space="preserve"> exam, the higher result of your two attempts will be used to calculate your final score.</w:t>
      </w:r>
    </w:p>
    <w:p w14:paraId="45C32533" w14:textId="77777777" w:rsidR="009C3397" w:rsidRDefault="009C3397" w:rsidP="009C3397">
      <w:pPr>
        <w:pStyle w:val="Heading2"/>
      </w:pPr>
      <w:bookmarkStart w:id="23" w:name="_Toc535362198"/>
      <w:bookmarkStart w:id="24" w:name="_Toc535697019"/>
      <w:bookmarkStart w:id="25" w:name="_Toc535921609"/>
    </w:p>
    <w:p w14:paraId="0341068B" w14:textId="1B206B5A" w:rsidR="009C3397" w:rsidRDefault="009C3397" w:rsidP="009C3397">
      <w:pPr>
        <w:pStyle w:val="Heading2"/>
      </w:pPr>
      <w:r>
        <w:t>Academic Integrity</w:t>
      </w:r>
      <w:bookmarkEnd w:id="23"/>
      <w:bookmarkEnd w:id="24"/>
      <w:bookmarkEnd w:id="25"/>
    </w:p>
    <w:p w14:paraId="70A4BC43" w14:textId="2F11DFC2" w:rsidR="009C3397" w:rsidRDefault="009C3397" w:rsidP="009C3397">
      <w:r>
        <w:t>You are required to comply with the InstantCert full Student Code of Conduct, which specifically prohibits cheating or any other academically dishonest behavior. Violation of any part of the Student Code of Conduct can result in a grade reduction or even suspension from the course.</w:t>
      </w:r>
    </w:p>
    <w:p w14:paraId="5BC1D3AA" w14:textId="75268ED2" w:rsidR="00FE4190" w:rsidRDefault="00FE4190" w:rsidP="009C3397"/>
    <w:p w14:paraId="7AD75844" w14:textId="77777777" w:rsidR="009C3397" w:rsidRDefault="009C3397" w:rsidP="0065467D">
      <w:pPr>
        <w:pStyle w:val="Heading2"/>
      </w:pPr>
      <w:bookmarkStart w:id="26" w:name="_Toc535362199"/>
      <w:bookmarkStart w:id="27" w:name="_Toc535697020"/>
      <w:bookmarkStart w:id="28" w:name="_Toc535921610"/>
      <w:r>
        <w:t>Software Requirements</w:t>
      </w:r>
      <w:bookmarkEnd w:id="26"/>
      <w:bookmarkEnd w:id="27"/>
      <w:bookmarkEnd w:id="28"/>
    </w:p>
    <w:p w14:paraId="32621846" w14:textId="77777777" w:rsidR="009C3397" w:rsidRDefault="009C3397" w:rsidP="009C3397">
      <w:r>
        <w:t>The operating system, browser, internet access and speed are provided below for use with courses from the InstantCert web site.</w:t>
      </w:r>
    </w:p>
    <w:tbl>
      <w:tblPr>
        <w:tblStyle w:val="TableGrid"/>
        <w:tblW w:w="0" w:type="auto"/>
        <w:tblLook w:val="04A0" w:firstRow="1" w:lastRow="0" w:firstColumn="1" w:lastColumn="0" w:noHBand="0" w:noVBand="1"/>
      </w:tblPr>
      <w:tblGrid>
        <w:gridCol w:w="2965"/>
        <w:gridCol w:w="6385"/>
      </w:tblGrid>
      <w:tr w:rsidR="009C3397" w14:paraId="55BE9864" w14:textId="77777777" w:rsidTr="00381876">
        <w:tc>
          <w:tcPr>
            <w:tcW w:w="2965" w:type="dxa"/>
            <w:vAlign w:val="center"/>
          </w:tcPr>
          <w:p w14:paraId="7849FABC" w14:textId="77777777" w:rsidR="009C3397" w:rsidRPr="006750E4" w:rsidRDefault="009C3397" w:rsidP="00381876">
            <w:pPr>
              <w:rPr>
                <w:rFonts w:eastAsia="Times New Roman" w:cstheme="minorHAnsi"/>
                <w:b/>
                <w:sz w:val="24"/>
              </w:rPr>
            </w:pPr>
            <w:r w:rsidRPr="006750E4">
              <w:rPr>
                <w:rFonts w:eastAsia="Times New Roman" w:cstheme="minorHAnsi"/>
                <w:b/>
                <w:sz w:val="24"/>
              </w:rPr>
              <w:t>Operating Systems</w:t>
            </w:r>
          </w:p>
        </w:tc>
        <w:tc>
          <w:tcPr>
            <w:tcW w:w="6385" w:type="dxa"/>
            <w:vAlign w:val="center"/>
          </w:tcPr>
          <w:p w14:paraId="4924FF2C" w14:textId="77777777" w:rsidR="009C3397" w:rsidRPr="00FA007E"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Windows XP and above</w:t>
            </w:r>
          </w:p>
          <w:p w14:paraId="2B5E2502"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Mac OS X </w:t>
            </w:r>
          </w:p>
        </w:tc>
      </w:tr>
      <w:tr w:rsidR="009C3397" w14:paraId="6B72A422" w14:textId="77777777" w:rsidTr="00381876">
        <w:tc>
          <w:tcPr>
            <w:tcW w:w="2965" w:type="dxa"/>
            <w:vAlign w:val="center"/>
          </w:tcPr>
          <w:p w14:paraId="0BE905EE" w14:textId="77777777" w:rsidR="009C3397" w:rsidRPr="006750E4" w:rsidRDefault="009C3397" w:rsidP="00381876">
            <w:pPr>
              <w:rPr>
                <w:rFonts w:eastAsia="Times New Roman" w:cstheme="minorHAnsi"/>
                <w:b/>
                <w:sz w:val="24"/>
              </w:rPr>
            </w:pPr>
            <w:r w:rsidRPr="006750E4">
              <w:rPr>
                <w:rFonts w:eastAsia="Times New Roman" w:cstheme="minorHAnsi"/>
                <w:b/>
                <w:sz w:val="24"/>
              </w:rPr>
              <w:t>Browsers</w:t>
            </w:r>
          </w:p>
        </w:tc>
        <w:tc>
          <w:tcPr>
            <w:tcW w:w="6385" w:type="dxa"/>
            <w:vAlign w:val="center"/>
          </w:tcPr>
          <w:p w14:paraId="05952786" w14:textId="77777777" w:rsidR="009C3397" w:rsidRPr="00F03CFA"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The latest version of Chrome</w:t>
            </w:r>
            <w:r w:rsidRPr="00F03CFA">
              <w:rPr>
                <w:rFonts w:eastAsia="Times New Roman" w:cstheme="minorHAnsi"/>
                <w:sz w:val="21"/>
                <w:szCs w:val="21"/>
              </w:rPr>
              <w:t xml:space="preserve">, </w:t>
            </w:r>
            <w:r w:rsidRPr="00FA007E">
              <w:rPr>
                <w:rFonts w:eastAsia="Times New Roman" w:cstheme="minorHAnsi"/>
                <w:sz w:val="21"/>
                <w:szCs w:val="21"/>
              </w:rPr>
              <w:t>Firefox</w:t>
            </w:r>
            <w:r w:rsidRPr="00F03CFA">
              <w:rPr>
                <w:rFonts w:eastAsia="Times New Roman" w:cstheme="minorHAnsi"/>
                <w:sz w:val="21"/>
                <w:szCs w:val="21"/>
              </w:rPr>
              <w:t xml:space="preserve"> of Safari</w:t>
            </w:r>
          </w:p>
          <w:p w14:paraId="4619EBAA"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 xml:space="preserve">IE9 </w:t>
            </w:r>
            <w:r w:rsidRPr="00F03CFA">
              <w:rPr>
                <w:rFonts w:eastAsia="Times New Roman" w:cstheme="minorHAnsi"/>
                <w:sz w:val="21"/>
                <w:szCs w:val="21"/>
              </w:rPr>
              <w:t>or higher</w:t>
            </w:r>
          </w:p>
        </w:tc>
      </w:tr>
      <w:tr w:rsidR="009C3397" w14:paraId="6E87A953" w14:textId="77777777" w:rsidTr="00381876">
        <w:tc>
          <w:tcPr>
            <w:tcW w:w="2965" w:type="dxa"/>
            <w:vAlign w:val="center"/>
          </w:tcPr>
          <w:p w14:paraId="280FA237" w14:textId="77777777" w:rsidR="009C3397" w:rsidRPr="006750E4" w:rsidRDefault="009C3397" w:rsidP="00381876">
            <w:pPr>
              <w:rPr>
                <w:rFonts w:eastAsia="Times New Roman" w:cstheme="minorHAnsi"/>
                <w:b/>
                <w:sz w:val="24"/>
              </w:rPr>
            </w:pPr>
            <w:r w:rsidRPr="006750E4">
              <w:rPr>
                <w:rFonts w:eastAsia="Times New Roman" w:cstheme="minorHAnsi"/>
                <w:b/>
                <w:sz w:val="24"/>
              </w:rPr>
              <w:t>Internet and Speed</w:t>
            </w:r>
          </w:p>
        </w:tc>
        <w:tc>
          <w:tcPr>
            <w:tcW w:w="6385" w:type="dxa"/>
          </w:tcPr>
          <w:p w14:paraId="7ACEE72D" w14:textId="77777777" w:rsidR="009C3397" w:rsidRPr="00F03CFA" w:rsidRDefault="009C3397" w:rsidP="00381876">
            <w:pPr>
              <w:ind w:left="72"/>
              <w:rPr>
                <w:rFonts w:eastAsia="Times New Roman" w:cstheme="minorHAnsi"/>
                <w:sz w:val="24"/>
              </w:rPr>
            </w:pPr>
            <w:r w:rsidRPr="00FA007E">
              <w:rPr>
                <w:rFonts w:eastAsia="Times New Roman" w:cstheme="minorHAnsi"/>
                <w:sz w:val="21"/>
                <w:szCs w:val="21"/>
              </w:rPr>
              <w:t>Broadband Internet; 1Mbps or higher</w:t>
            </w:r>
          </w:p>
        </w:tc>
      </w:tr>
    </w:tbl>
    <w:p w14:paraId="652C302A" w14:textId="77777777" w:rsidR="009C3397" w:rsidRDefault="009C3397" w:rsidP="009C3397">
      <w:pPr>
        <w:pStyle w:val="Heading3"/>
      </w:pPr>
      <w:bookmarkStart w:id="29" w:name="_Toc535362200"/>
      <w:bookmarkStart w:id="30" w:name="_Toc535697021"/>
      <w:bookmarkStart w:id="31" w:name="_Toc535921611"/>
    </w:p>
    <w:p w14:paraId="06670007" w14:textId="4EC48B98" w:rsidR="009C3397" w:rsidRPr="0051627F" w:rsidRDefault="009C3397" w:rsidP="009C3397">
      <w:pPr>
        <w:pStyle w:val="Heading2"/>
      </w:pPr>
      <w:r w:rsidRPr="00FC7FD0">
        <w:t>Accessibility and Disability Accommodations</w:t>
      </w:r>
      <w:bookmarkEnd w:id="29"/>
      <w:bookmarkEnd w:id="30"/>
      <w:bookmarkEnd w:id="31"/>
    </w:p>
    <w:p w14:paraId="3878BDEC" w14:textId="77777777" w:rsidR="009C3397" w:rsidRDefault="009C3397" w:rsidP="009C3397">
      <w:r>
        <w:t>InstantCert strives to make online education accessible to people everywhere in the following ways:</w:t>
      </w:r>
    </w:p>
    <w:p w14:paraId="0B1AD51D" w14:textId="77777777" w:rsidR="009C3397" w:rsidRDefault="009C3397" w:rsidP="009C3397">
      <w:pPr>
        <w:pStyle w:val="ListParagraph"/>
        <w:numPr>
          <w:ilvl w:val="0"/>
          <w:numId w:val="2"/>
        </w:numPr>
        <w:spacing w:before="0" w:after="160" w:line="259" w:lineRule="auto"/>
      </w:pPr>
      <w:r>
        <w:t>All course content is available online, accessible from anywhere through an Internet connection.</w:t>
      </w:r>
    </w:p>
    <w:p w14:paraId="6A531E05" w14:textId="77777777" w:rsidR="009C3397" w:rsidRDefault="009C3397" w:rsidP="009C3397">
      <w:pPr>
        <w:pStyle w:val="ListParagraph"/>
        <w:numPr>
          <w:ilvl w:val="0"/>
          <w:numId w:val="2"/>
        </w:numPr>
        <w:spacing w:before="0" w:after="160" w:line="259" w:lineRule="auto"/>
      </w:pPr>
      <w:r>
        <w:t xml:space="preserve">All video lessons include a transcript for use by those who are hearing impaired and/or by students that wish to have written copies of the lessons. </w:t>
      </w:r>
    </w:p>
    <w:p w14:paraId="11B38773" w14:textId="77777777" w:rsidR="009C3397" w:rsidRDefault="009C3397" w:rsidP="009C3397">
      <w:pPr>
        <w:pStyle w:val="ListParagraph"/>
        <w:numPr>
          <w:ilvl w:val="0"/>
          <w:numId w:val="2"/>
        </w:numPr>
        <w:spacing w:before="0" w:after="160" w:line="259" w:lineRule="auto"/>
      </w:pPr>
      <w:r>
        <w:t>All video lessons have close captioning.</w:t>
      </w:r>
    </w:p>
    <w:p w14:paraId="2F601441" w14:textId="77777777" w:rsidR="009C3397" w:rsidRDefault="009C3397" w:rsidP="009C3397">
      <w:pPr>
        <w:pStyle w:val="ListParagraph"/>
        <w:numPr>
          <w:ilvl w:val="0"/>
          <w:numId w:val="2"/>
        </w:numPr>
        <w:spacing w:before="0" w:after="160" w:line="259" w:lineRule="auto"/>
      </w:pPr>
      <w:r>
        <w:t>Lesson pages can be navigated by screen readers.</w:t>
      </w:r>
    </w:p>
    <w:p w14:paraId="13F5D469" w14:textId="77777777" w:rsidR="009C3397" w:rsidRDefault="009C3397" w:rsidP="009C3397">
      <w:pPr>
        <w:pStyle w:val="ListParagraph"/>
        <w:numPr>
          <w:ilvl w:val="0"/>
          <w:numId w:val="2"/>
        </w:numPr>
        <w:spacing w:before="0" w:after="160" w:line="259" w:lineRule="auto"/>
      </w:pPr>
      <w:r>
        <w:t>Videos may be replayed an unlimited amount of times.  Video speed can be increased or slowed.</w:t>
      </w:r>
    </w:p>
    <w:p w14:paraId="58E28EF8" w14:textId="77777777" w:rsidR="009C3397" w:rsidRDefault="009C3397" w:rsidP="009C3397">
      <w:pPr>
        <w:pStyle w:val="ListParagraph"/>
        <w:numPr>
          <w:ilvl w:val="0"/>
          <w:numId w:val="2"/>
        </w:numPr>
        <w:spacing w:before="0" w:after="160" w:line="259" w:lineRule="auto"/>
      </w:pPr>
      <w:r>
        <w:t>Lesson transcripts and quizzes can be printed for offline use.</w:t>
      </w:r>
    </w:p>
    <w:p w14:paraId="06939D3C" w14:textId="77777777" w:rsidR="009C3397" w:rsidRPr="00467EB7" w:rsidRDefault="009C3397" w:rsidP="009C3397">
      <w:pPr>
        <w:pStyle w:val="ListParagraph"/>
        <w:numPr>
          <w:ilvl w:val="0"/>
          <w:numId w:val="2"/>
        </w:numPr>
        <w:spacing w:before="0" w:after="160" w:line="259" w:lineRule="auto"/>
      </w:pPr>
      <w:r>
        <w:t xml:space="preserve">The proctoring software </w:t>
      </w:r>
      <w:proofErr w:type="spellStart"/>
      <w:r>
        <w:t>RPNow</w:t>
      </w:r>
      <w:proofErr w:type="spellEnd"/>
      <w:r>
        <w:t xml:space="preserve"> works with screen readers.</w:t>
      </w:r>
    </w:p>
    <w:p w14:paraId="6011070D" w14:textId="77777777" w:rsidR="00987C9C" w:rsidRDefault="00987C9C"/>
    <w:sectPr w:rsidR="0098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A39"/>
    <w:multiLevelType w:val="hybridMultilevel"/>
    <w:tmpl w:val="5178F6C6"/>
    <w:lvl w:ilvl="0" w:tplc="2468FC64">
      <w:start w:val="7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D124B"/>
    <w:multiLevelType w:val="hybridMultilevel"/>
    <w:tmpl w:val="DBA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970"/>
    <w:multiLevelType w:val="multilevel"/>
    <w:tmpl w:val="2DF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7"/>
    <w:rsid w:val="00012317"/>
    <w:rsid w:val="00014D00"/>
    <w:rsid w:val="00017E9D"/>
    <w:rsid w:val="00022C0F"/>
    <w:rsid w:val="000237BC"/>
    <w:rsid w:val="00024F8B"/>
    <w:rsid w:val="000279F7"/>
    <w:rsid w:val="00030192"/>
    <w:rsid w:val="00031C15"/>
    <w:rsid w:val="00032031"/>
    <w:rsid w:val="00034850"/>
    <w:rsid w:val="00046B10"/>
    <w:rsid w:val="000509EE"/>
    <w:rsid w:val="00050ECF"/>
    <w:rsid w:val="000667F4"/>
    <w:rsid w:val="00066B2F"/>
    <w:rsid w:val="00070DC5"/>
    <w:rsid w:val="000854F7"/>
    <w:rsid w:val="00086FA3"/>
    <w:rsid w:val="00090269"/>
    <w:rsid w:val="000A056D"/>
    <w:rsid w:val="000A5838"/>
    <w:rsid w:val="000A70FB"/>
    <w:rsid w:val="000D081C"/>
    <w:rsid w:val="000D3F38"/>
    <w:rsid w:val="000E20DE"/>
    <w:rsid w:val="000F244B"/>
    <w:rsid w:val="000F36F1"/>
    <w:rsid w:val="000F42DA"/>
    <w:rsid w:val="00100B95"/>
    <w:rsid w:val="00102CA9"/>
    <w:rsid w:val="001153C7"/>
    <w:rsid w:val="0011548D"/>
    <w:rsid w:val="00123B83"/>
    <w:rsid w:val="00131E7E"/>
    <w:rsid w:val="0013711F"/>
    <w:rsid w:val="00146CD7"/>
    <w:rsid w:val="00181AFE"/>
    <w:rsid w:val="00186BC5"/>
    <w:rsid w:val="001B1C26"/>
    <w:rsid w:val="001C3F26"/>
    <w:rsid w:val="001F0534"/>
    <w:rsid w:val="001F1E4A"/>
    <w:rsid w:val="001F41D4"/>
    <w:rsid w:val="00202A0C"/>
    <w:rsid w:val="0020711D"/>
    <w:rsid w:val="00214B96"/>
    <w:rsid w:val="00230207"/>
    <w:rsid w:val="0023143B"/>
    <w:rsid w:val="002316EF"/>
    <w:rsid w:val="00235542"/>
    <w:rsid w:val="00245784"/>
    <w:rsid w:val="00252376"/>
    <w:rsid w:val="00252E23"/>
    <w:rsid w:val="00263892"/>
    <w:rsid w:val="00263EEC"/>
    <w:rsid w:val="00264E0A"/>
    <w:rsid w:val="0027284C"/>
    <w:rsid w:val="00282126"/>
    <w:rsid w:val="0028280A"/>
    <w:rsid w:val="00287216"/>
    <w:rsid w:val="0029064E"/>
    <w:rsid w:val="002923AA"/>
    <w:rsid w:val="0029510E"/>
    <w:rsid w:val="002963C3"/>
    <w:rsid w:val="002978C0"/>
    <w:rsid w:val="002B3740"/>
    <w:rsid w:val="002B49F2"/>
    <w:rsid w:val="002C684D"/>
    <w:rsid w:val="002D79B7"/>
    <w:rsid w:val="002E678B"/>
    <w:rsid w:val="002F28FC"/>
    <w:rsid w:val="002F2A39"/>
    <w:rsid w:val="002F780C"/>
    <w:rsid w:val="0031500F"/>
    <w:rsid w:val="00323458"/>
    <w:rsid w:val="0032490C"/>
    <w:rsid w:val="003263B5"/>
    <w:rsid w:val="003305C0"/>
    <w:rsid w:val="00337E05"/>
    <w:rsid w:val="00340299"/>
    <w:rsid w:val="00342720"/>
    <w:rsid w:val="0034533A"/>
    <w:rsid w:val="0036196A"/>
    <w:rsid w:val="00361A84"/>
    <w:rsid w:val="003639C4"/>
    <w:rsid w:val="00363F0E"/>
    <w:rsid w:val="0036643E"/>
    <w:rsid w:val="00370C96"/>
    <w:rsid w:val="0037180E"/>
    <w:rsid w:val="0038067F"/>
    <w:rsid w:val="00382B35"/>
    <w:rsid w:val="00384AC5"/>
    <w:rsid w:val="00396600"/>
    <w:rsid w:val="003A3145"/>
    <w:rsid w:val="003A551F"/>
    <w:rsid w:val="003A59E2"/>
    <w:rsid w:val="003B5776"/>
    <w:rsid w:val="003C20A0"/>
    <w:rsid w:val="003C2980"/>
    <w:rsid w:val="003D11A9"/>
    <w:rsid w:val="003E3BD7"/>
    <w:rsid w:val="003E7C7C"/>
    <w:rsid w:val="003F0BBA"/>
    <w:rsid w:val="003F6FC4"/>
    <w:rsid w:val="0041029F"/>
    <w:rsid w:val="00410A61"/>
    <w:rsid w:val="004146A2"/>
    <w:rsid w:val="00414FC1"/>
    <w:rsid w:val="0041505A"/>
    <w:rsid w:val="004216CD"/>
    <w:rsid w:val="00422A74"/>
    <w:rsid w:val="004331F1"/>
    <w:rsid w:val="00435DD5"/>
    <w:rsid w:val="00436E92"/>
    <w:rsid w:val="004373B7"/>
    <w:rsid w:val="0045046B"/>
    <w:rsid w:val="00450FDF"/>
    <w:rsid w:val="004566E1"/>
    <w:rsid w:val="00456FB4"/>
    <w:rsid w:val="00460A14"/>
    <w:rsid w:val="00462A2F"/>
    <w:rsid w:val="0046309B"/>
    <w:rsid w:val="00474AF2"/>
    <w:rsid w:val="00476C28"/>
    <w:rsid w:val="004926E2"/>
    <w:rsid w:val="00492B8D"/>
    <w:rsid w:val="0049722C"/>
    <w:rsid w:val="004A0744"/>
    <w:rsid w:val="004A1778"/>
    <w:rsid w:val="004B0D78"/>
    <w:rsid w:val="004B0DE1"/>
    <w:rsid w:val="004B4767"/>
    <w:rsid w:val="004B6444"/>
    <w:rsid w:val="004C14C9"/>
    <w:rsid w:val="004D0F24"/>
    <w:rsid w:val="004D2351"/>
    <w:rsid w:val="004D2827"/>
    <w:rsid w:val="004D7097"/>
    <w:rsid w:val="004F0A5F"/>
    <w:rsid w:val="004F143C"/>
    <w:rsid w:val="005052AC"/>
    <w:rsid w:val="00513AA0"/>
    <w:rsid w:val="00521A0B"/>
    <w:rsid w:val="0054102C"/>
    <w:rsid w:val="00542ADD"/>
    <w:rsid w:val="005456CE"/>
    <w:rsid w:val="00547BE9"/>
    <w:rsid w:val="005505AF"/>
    <w:rsid w:val="005545AF"/>
    <w:rsid w:val="005905B6"/>
    <w:rsid w:val="005943C5"/>
    <w:rsid w:val="00596655"/>
    <w:rsid w:val="005A22AD"/>
    <w:rsid w:val="005A2662"/>
    <w:rsid w:val="005A48B3"/>
    <w:rsid w:val="005B067E"/>
    <w:rsid w:val="005B128B"/>
    <w:rsid w:val="005B7315"/>
    <w:rsid w:val="005C0B9B"/>
    <w:rsid w:val="005C279B"/>
    <w:rsid w:val="005D6B19"/>
    <w:rsid w:val="005E64A6"/>
    <w:rsid w:val="005E7667"/>
    <w:rsid w:val="005F214A"/>
    <w:rsid w:val="006242E6"/>
    <w:rsid w:val="006253EE"/>
    <w:rsid w:val="00635401"/>
    <w:rsid w:val="006360AD"/>
    <w:rsid w:val="00640D88"/>
    <w:rsid w:val="00652502"/>
    <w:rsid w:val="0065405F"/>
    <w:rsid w:val="0065467D"/>
    <w:rsid w:val="006705C8"/>
    <w:rsid w:val="0067369E"/>
    <w:rsid w:val="0067755A"/>
    <w:rsid w:val="00694E15"/>
    <w:rsid w:val="00696DC2"/>
    <w:rsid w:val="006A5466"/>
    <w:rsid w:val="006A5753"/>
    <w:rsid w:val="006B453C"/>
    <w:rsid w:val="006B7999"/>
    <w:rsid w:val="006C62E5"/>
    <w:rsid w:val="006D6ED7"/>
    <w:rsid w:val="006E499F"/>
    <w:rsid w:val="006F257B"/>
    <w:rsid w:val="00705257"/>
    <w:rsid w:val="0070602D"/>
    <w:rsid w:val="0071750C"/>
    <w:rsid w:val="00755AA2"/>
    <w:rsid w:val="00777392"/>
    <w:rsid w:val="007849C3"/>
    <w:rsid w:val="0078653F"/>
    <w:rsid w:val="00786902"/>
    <w:rsid w:val="00792B19"/>
    <w:rsid w:val="00792BA4"/>
    <w:rsid w:val="007949F8"/>
    <w:rsid w:val="007B100D"/>
    <w:rsid w:val="007D61E7"/>
    <w:rsid w:val="007E08A7"/>
    <w:rsid w:val="007F114E"/>
    <w:rsid w:val="007F381E"/>
    <w:rsid w:val="00801869"/>
    <w:rsid w:val="00804DD4"/>
    <w:rsid w:val="00807C64"/>
    <w:rsid w:val="00812768"/>
    <w:rsid w:val="00815DED"/>
    <w:rsid w:val="00823638"/>
    <w:rsid w:val="008406A3"/>
    <w:rsid w:val="0085058E"/>
    <w:rsid w:val="0085127C"/>
    <w:rsid w:val="00870064"/>
    <w:rsid w:val="00870598"/>
    <w:rsid w:val="00875653"/>
    <w:rsid w:val="00875810"/>
    <w:rsid w:val="00880122"/>
    <w:rsid w:val="00891590"/>
    <w:rsid w:val="0089773A"/>
    <w:rsid w:val="008A19B7"/>
    <w:rsid w:val="008A6E4F"/>
    <w:rsid w:val="008C04CC"/>
    <w:rsid w:val="008C0559"/>
    <w:rsid w:val="008E3C49"/>
    <w:rsid w:val="008E63DC"/>
    <w:rsid w:val="008E6A33"/>
    <w:rsid w:val="00907D49"/>
    <w:rsid w:val="009122EE"/>
    <w:rsid w:val="009240DF"/>
    <w:rsid w:val="00926D83"/>
    <w:rsid w:val="00944BEE"/>
    <w:rsid w:val="009477CD"/>
    <w:rsid w:val="00954DE5"/>
    <w:rsid w:val="00974D2A"/>
    <w:rsid w:val="009779AE"/>
    <w:rsid w:val="00981B7B"/>
    <w:rsid w:val="009851F8"/>
    <w:rsid w:val="00987C9C"/>
    <w:rsid w:val="00993D9E"/>
    <w:rsid w:val="00994EB2"/>
    <w:rsid w:val="009A08C8"/>
    <w:rsid w:val="009A0B47"/>
    <w:rsid w:val="009A101D"/>
    <w:rsid w:val="009A2964"/>
    <w:rsid w:val="009B041B"/>
    <w:rsid w:val="009B2AD3"/>
    <w:rsid w:val="009B3E54"/>
    <w:rsid w:val="009B59AB"/>
    <w:rsid w:val="009B5C86"/>
    <w:rsid w:val="009B6664"/>
    <w:rsid w:val="009C3397"/>
    <w:rsid w:val="009D2BC6"/>
    <w:rsid w:val="009D7BAC"/>
    <w:rsid w:val="009E60FE"/>
    <w:rsid w:val="009F1D30"/>
    <w:rsid w:val="00A03ED4"/>
    <w:rsid w:val="00A051F2"/>
    <w:rsid w:val="00A139A2"/>
    <w:rsid w:val="00A16592"/>
    <w:rsid w:val="00A258F7"/>
    <w:rsid w:val="00A34ADC"/>
    <w:rsid w:val="00A4018A"/>
    <w:rsid w:val="00A405E5"/>
    <w:rsid w:val="00A41C97"/>
    <w:rsid w:val="00A615AD"/>
    <w:rsid w:val="00A62B51"/>
    <w:rsid w:val="00A639DF"/>
    <w:rsid w:val="00A81EBD"/>
    <w:rsid w:val="00AA1F55"/>
    <w:rsid w:val="00AA2D11"/>
    <w:rsid w:val="00AA5F53"/>
    <w:rsid w:val="00AA77CF"/>
    <w:rsid w:val="00AB2B89"/>
    <w:rsid w:val="00AB491B"/>
    <w:rsid w:val="00AB586B"/>
    <w:rsid w:val="00AC38DD"/>
    <w:rsid w:val="00AE037D"/>
    <w:rsid w:val="00AF06C3"/>
    <w:rsid w:val="00AF1DB2"/>
    <w:rsid w:val="00AF1F71"/>
    <w:rsid w:val="00AF2A9C"/>
    <w:rsid w:val="00AF4482"/>
    <w:rsid w:val="00B02DBB"/>
    <w:rsid w:val="00B177B0"/>
    <w:rsid w:val="00B177D1"/>
    <w:rsid w:val="00B17F72"/>
    <w:rsid w:val="00B32771"/>
    <w:rsid w:val="00B345D9"/>
    <w:rsid w:val="00B37F74"/>
    <w:rsid w:val="00B42E6D"/>
    <w:rsid w:val="00B44AB2"/>
    <w:rsid w:val="00B45823"/>
    <w:rsid w:val="00B45EE6"/>
    <w:rsid w:val="00B51864"/>
    <w:rsid w:val="00B51B69"/>
    <w:rsid w:val="00B55F17"/>
    <w:rsid w:val="00B57B5F"/>
    <w:rsid w:val="00B6394F"/>
    <w:rsid w:val="00B81EEF"/>
    <w:rsid w:val="00B821EC"/>
    <w:rsid w:val="00B83A76"/>
    <w:rsid w:val="00B90E07"/>
    <w:rsid w:val="00B938BB"/>
    <w:rsid w:val="00B95701"/>
    <w:rsid w:val="00B977A9"/>
    <w:rsid w:val="00BA0881"/>
    <w:rsid w:val="00BA5041"/>
    <w:rsid w:val="00BA5ACB"/>
    <w:rsid w:val="00BC4C1B"/>
    <w:rsid w:val="00BD3CA2"/>
    <w:rsid w:val="00BD65F7"/>
    <w:rsid w:val="00BE1B4E"/>
    <w:rsid w:val="00BF042F"/>
    <w:rsid w:val="00BF1201"/>
    <w:rsid w:val="00C019C8"/>
    <w:rsid w:val="00C05352"/>
    <w:rsid w:val="00C12E05"/>
    <w:rsid w:val="00C22C9E"/>
    <w:rsid w:val="00C24A6F"/>
    <w:rsid w:val="00C36AD5"/>
    <w:rsid w:val="00C44B49"/>
    <w:rsid w:val="00C46A9A"/>
    <w:rsid w:val="00C47D9E"/>
    <w:rsid w:val="00C52CC1"/>
    <w:rsid w:val="00C56FC8"/>
    <w:rsid w:val="00C641E4"/>
    <w:rsid w:val="00C6752D"/>
    <w:rsid w:val="00C67D05"/>
    <w:rsid w:val="00C71BF6"/>
    <w:rsid w:val="00C83763"/>
    <w:rsid w:val="00C87357"/>
    <w:rsid w:val="00C907DC"/>
    <w:rsid w:val="00C90BFC"/>
    <w:rsid w:val="00C9745D"/>
    <w:rsid w:val="00CA7C79"/>
    <w:rsid w:val="00CB3595"/>
    <w:rsid w:val="00CC382E"/>
    <w:rsid w:val="00CC722F"/>
    <w:rsid w:val="00CD1989"/>
    <w:rsid w:val="00CE005A"/>
    <w:rsid w:val="00CE3A25"/>
    <w:rsid w:val="00CF05AE"/>
    <w:rsid w:val="00CF5AB9"/>
    <w:rsid w:val="00CF5F92"/>
    <w:rsid w:val="00CF64A9"/>
    <w:rsid w:val="00D02521"/>
    <w:rsid w:val="00D05DC4"/>
    <w:rsid w:val="00D06B1F"/>
    <w:rsid w:val="00D07466"/>
    <w:rsid w:val="00D13025"/>
    <w:rsid w:val="00D220B2"/>
    <w:rsid w:val="00D42A2E"/>
    <w:rsid w:val="00D44CD1"/>
    <w:rsid w:val="00D47D0F"/>
    <w:rsid w:val="00D532CE"/>
    <w:rsid w:val="00D61652"/>
    <w:rsid w:val="00D81825"/>
    <w:rsid w:val="00D878DA"/>
    <w:rsid w:val="00D94311"/>
    <w:rsid w:val="00D95CD1"/>
    <w:rsid w:val="00DA4400"/>
    <w:rsid w:val="00DA573A"/>
    <w:rsid w:val="00DA6756"/>
    <w:rsid w:val="00DC2998"/>
    <w:rsid w:val="00DE187B"/>
    <w:rsid w:val="00DE33FB"/>
    <w:rsid w:val="00E20278"/>
    <w:rsid w:val="00E20F7B"/>
    <w:rsid w:val="00E22CFC"/>
    <w:rsid w:val="00E3582B"/>
    <w:rsid w:val="00E453D0"/>
    <w:rsid w:val="00E60661"/>
    <w:rsid w:val="00E61A12"/>
    <w:rsid w:val="00E6466D"/>
    <w:rsid w:val="00E64AED"/>
    <w:rsid w:val="00E65749"/>
    <w:rsid w:val="00E65DB3"/>
    <w:rsid w:val="00E70617"/>
    <w:rsid w:val="00E736A8"/>
    <w:rsid w:val="00E75FD1"/>
    <w:rsid w:val="00E900C4"/>
    <w:rsid w:val="00E9594C"/>
    <w:rsid w:val="00EA1FA6"/>
    <w:rsid w:val="00EB3E71"/>
    <w:rsid w:val="00EC2E40"/>
    <w:rsid w:val="00EC362C"/>
    <w:rsid w:val="00EF0356"/>
    <w:rsid w:val="00EF216B"/>
    <w:rsid w:val="00F04483"/>
    <w:rsid w:val="00F07EEE"/>
    <w:rsid w:val="00F11C44"/>
    <w:rsid w:val="00F12992"/>
    <w:rsid w:val="00F21B27"/>
    <w:rsid w:val="00F23CA8"/>
    <w:rsid w:val="00F34F1F"/>
    <w:rsid w:val="00F3535D"/>
    <w:rsid w:val="00F5278C"/>
    <w:rsid w:val="00F551BF"/>
    <w:rsid w:val="00F621CE"/>
    <w:rsid w:val="00F713E8"/>
    <w:rsid w:val="00F76586"/>
    <w:rsid w:val="00F80792"/>
    <w:rsid w:val="00FA0877"/>
    <w:rsid w:val="00FA60F7"/>
    <w:rsid w:val="00FB2E3C"/>
    <w:rsid w:val="00FC0885"/>
    <w:rsid w:val="00FC214B"/>
    <w:rsid w:val="00FC7D26"/>
    <w:rsid w:val="00FE4190"/>
    <w:rsid w:val="00FE4AB0"/>
    <w:rsid w:val="00F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6DD8"/>
  <w15:chartTrackingRefBased/>
  <w15:docId w15:val="{42C0D321-0979-4D56-AC0E-A0C50DF3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psheet text"/>
    <w:qFormat/>
    <w:rsid w:val="009C3397"/>
    <w:pPr>
      <w:spacing w:before="100" w:after="100" w:line="240" w:lineRule="auto"/>
    </w:pPr>
    <w:rPr>
      <w:rFonts w:ascii="Calibri" w:eastAsia="Calibri" w:hAnsi="Calibri" w:cs="Times New Roman"/>
      <w:bCs/>
      <w:color w:val="000000" w:themeColor="text1"/>
      <w:szCs w:val="24"/>
    </w:rPr>
  </w:style>
  <w:style w:type="paragraph" w:styleId="Heading1">
    <w:name w:val="heading 1"/>
    <w:basedOn w:val="Normal"/>
    <w:next w:val="Normal"/>
    <w:link w:val="Heading1Char"/>
    <w:uiPriority w:val="9"/>
    <w:qFormat/>
    <w:rsid w:val="009C3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397"/>
    <w:pPr>
      <w:keepNext/>
      <w:keepLines/>
      <w:spacing w:before="80" w:after="8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9C3397"/>
    <w:pPr>
      <w:keepNext/>
      <w:keepLines/>
      <w:spacing w:before="70" w:after="7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397"/>
    <w:rPr>
      <w:rFonts w:asciiTheme="majorHAnsi" w:eastAsiaTheme="majorEastAsia" w:hAnsiTheme="majorHAnsi" w:cstheme="majorBidi"/>
      <w:bCs/>
      <w:color w:val="2F5496" w:themeColor="accent1" w:themeShade="BF"/>
      <w:sz w:val="28"/>
      <w:szCs w:val="26"/>
    </w:rPr>
  </w:style>
  <w:style w:type="character" w:customStyle="1" w:styleId="Heading3Char">
    <w:name w:val="Heading 3 Char"/>
    <w:basedOn w:val="DefaultParagraphFont"/>
    <w:link w:val="Heading3"/>
    <w:uiPriority w:val="9"/>
    <w:rsid w:val="009C3397"/>
    <w:rPr>
      <w:rFonts w:asciiTheme="majorHAnsi" w:eastAsiaTheme="majorEastAsia" w:hAnsiTheme="majorHAnsi" w:cstheme="majorBidi"/>
      <w:bCs/>
      <w:color w:val="1F3763" w:themeColor="accent1" w:themeShade="7F"/>
      <w:sz w:val="24"/>
      <w:szCs w:val="24"/>
    </w:rPr>
  </w:style>
  <w:style w:type="character" w:styleId="Hyperlink">
    <w:name w:val="Hyperlink"/>
    <w:basedOn w:val="DefaultParagraphFont"/>
    <w:uiPriority w:val="99"/>
    <w:unhideWhenUsed/>
    <w:rsid w:val="009C3397"/>
    <w:rPr>
      <w:color w:val="0000FF"/>
      <w:u w:val="single"/>
    </w:rPr>
  </w:style>
  <w:style w:type="paragraph" w:styleId="ListParagraph">
    <w:name w:val="List Paragraph"/>
    <w:basedOn w:val="Normal"/>
    <w:uiPriority w:val="34"/>
    <w:qFormat/>
    <w:rsid w:val="009C3397"/>
    <w:pPr>
      <w:ind w:left="720"/>
      <w:contextualSpacing/>
    </w:pPr>
  </w:style>
  <w:style w:type="table" w:styleId="TableGrid">
    <w:name w:val="Table Grid"/>
    <w:basedOn w:val="TableNormal"/>
    <w:uiPriority w:val="39"/>
    <w:rsid w:val="009C3397"/>
    <w:pPr>
      <w:spacing w:after="0" w:line="240" w:lineRule="auto"/>
    </w:pPr>
    <w:rPr>
      <w:rFonts w:ascii="Calibri" w:eastAsia="Calibri" w:hAnsi="Calibri" w:cs="Times New Roman"/>
      <w:bCs/>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C33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9C3397"/>
    <w:rPr>
      <w:sz w:val="16"/>
      <w:szCs w:val="16"/>
    </w:rPr>
  </w:style>
  <w:style w:type="paragraph" w:styleId="CommentText">
    <w:name w:val="annotation text"/>
    <w:basedOn w:val="Normal"/>
    <w:link w:val="CommentTextChar"/>
    <w:uiPriority w:val="99"/>
    <w:semiHidden/>
    <w:unhideWhenUsed/>
    <w:rsid w:val="009C3397"/>
    <w:rPr>
      <w:sz w:val="20"/>
      <w:szCs w:val="20"/>
    </w:rPr>
  </w:style>
  <w:style w:type="character" w:customStyle="1" w:styleId="CommentTextChar">
    <w:name w:val="Comment Text Char"/>
    <w:basedOn w:val="DefaultParagraphFont"/>
    <w:link w:val="CommentText"/>
    <w:uiPriority w:val="99"/>
    <w:semiHidden/>
    <w:rsid w:val="009C3397"/>
    <w:rPr>
      <w:rFonts w:ascii="Calibri" w:eastAsia="Calibri" w:hAnsi="Calibri" w:cs="Times New Roman"/>
      <w:bCs/>
      <w:color w:val="000000" w:themeColor="text1"/>
      <w:sz w:val="20"/>
      <w:szCs w:val="20"/>
    </w:rPr>
  </w:style>
  <w:style w:type="paragraph" w:customStyle="1" w:styleId="Default">
    <w:name w:val="Default"/>
    <w:rsid w:val="009C33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styleId="GridTable1Light-Accent3">
    <w:name w:val="Grid Table 1 Light Accent 3"/>
    <w:basedOn w:val="TableNormal"/>
    <w:uiPriority w:val="46"/>
    <w:rsid w:val="009C339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C33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97"/>
    <w:rPr>
      <w:rFonts w:ascii="Segoe UI" w:eastAsia="Calibri" w:hAnsi="Segoe UI" w:cs="Segoe UI"/>
      <w:bCs/>
      <w:color w:val="000000" w:themeColor="text1"/>
      <w:sz w:val="18"/>
      <w:szCs w:val="18"/>
    </w:rPr>
  </w:style>
  <w:style w:type="character" w:customStyle="1" w:styleId="Heading1Char">
    <w:name w:val="Heading 1 Char"/>
    <w:basedOn w:val="DefaultParagraphFont"/>
    <w:link w:val="Heading1"/>
    <w:uiPriority w:val="9"/>
    <w:rsid w:val="009C3397"/>
    <w:rPr>
      <w:rFonts w:asciiTheme="majorHAnsi" w:eastAsiaTheme="majorEastAsia" w:hAnsiTheme="majorHAnsi" w:cstheme="majorBidi"/>
      <w:bCs/>
      <w:color w:val="2F5496" w:themeColor="accent1" w:themeShade="BF"/>
      <w:sz w:val="32"/>
      <w:szCs w:val="32"/>
    </w:rPr>
  </w:style>
  <w:style w:type="paragraph" w:customStyle="1" w:styleId="body">
    <w:name w:val="body"/>
    <w:basedOn w:val="Normal"/>
    <w:rsid w:val="005E7667"/>
    <w:pPr>
      <w:spacing w:before="80" w:after="0"/>
    </w:pPr>
    <w:rPr>
      <w:rFonts w:ascii="Book Antiqua" w:eastAsia="Times New Roman" w:hAnsi="Book Antiqua"/>
      <w:bCs w:val="0"/>
      <w:color w:val="auto"/>
      <w:spacing w:val="10"/>
      <w:sz w:val="18"/>
      <w:szCs w:val="18"/>
    </w:rPr>
  </w:style>
  <w:style w:type="character" w:styleId="UnresolvedMention">
    <w:name w:val="Unresolved Mention"/>
    <w:basedOn w:val="DefaultParagraphFont"/>
    <w:uiPriority w:val="99"/>
    <w:semiHidden/>
    <w:unhideWhenUsed/>
    <w:rsid w:val="0069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entportal.softwaresecure.com/support/index.php?/Knowledgebase/Article/View/252/0/system-requirements-remote-proctor-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Gloer</dc:creator>
  <cp:keywords/>
  <dc:description/>
  <cp:lastModifiedBy>Steven Gloer</cp:lastModifiedBy>
  <cp:revision>24</cp:revision>
  <dcterms:created xsi:type="dcterms:W3CDTF">2019-02-11T16:46:00Z</dcterms:created>
  <dcterms:modified xsi:type="dcterms:W3CDTF">2019-05-20T14:37:00Z</dcterms:modified>
</cp:coreProperties>
</file>